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E5C75" w14:textId="04E60255" w:rsidR="001D30E5" w:rsidRDefault="00411301">
      <w:pPr>
        <w:spacing w:line="480" w:lineRule="auto"/>
        <w:jc w:val="center"/>
        <w:rPr>
          <w:rFonts w:eastAsia="Calibri"/>
          <w:b/>
        </w:rPr>
      </w:pPr>
      <w:r>
        <w:rPr>
          <w:rFonts w:eastAsia="Calibri"/>
          <w:b/>
        </w:rPr>
        <w:t xml:space="preserve">DOCKET NO. </w:t>
      </w:r>
      <w:r w:rsidR="00D37EB2">
        <w:rPr>
          <w:rFonts w:eastAsia="Calibri"/>
          <w:b/>
        </w:rPr>
        <w:t>52487</w:t>
      </w:r>
    </w:p>
    <w:p w14:paraId="5E4DB730" w14:textId="77777777" w:rsidR="001D30E5" w:rsidRDefault="001D30E5">
      <w:pPr>
        <w:jc w:val="center"/>
        <w:rPr>
          <w:rFonts w:eastAsia="Calibri"/>
          <w:b/>
        </w:rPr>
      </w:pPr>
    </w:p>
    <w:tbl>
      <w:tblPr>
        <w:tblW w:w="9576" w:type="dxa"/>
        <w:tblLook w:val="00A0" w:firstRow="1" w:lastRow="0" w:firstColumn="1" w:lastColumn="0" w:noHBand="0" w:noVBand="0"/>
      </w:tblPr>
      <w:tblGrid>
        <w:gridCol w:w="4698"/>
        <w:gridCol w:w="450"/>
        <w:gridCol w:w="4428"/>
      </w:tblGrid>
      <w:tr w:rsidR="001D30E5" w14:paraId="69CABF4C" w14:textId="77777777">
        <w:trPr>
          <w:trHeight w:val="1503"/>
        </w:trPr>
        <w:tc>
          <w:tcPr>
            <w:tcW w:w="4698" w:type="dxa"/>
          </w:tcPr>
          <w:p w14:paraId="66799F9A" w14:textId="77777777" w:rsidR="001D30E5" w:rsidRDefault="00411301">
            <w:pPr>
              <w:rPr>
                <w:rFonts w:eastAsia="Calibri"/>
                <w:b/>
              </w:rPr>
            </w:pPr>
            <w:r>
              <w:rPr>
                <w:rFonts w:eastAsia="Calibri"/>
                <w:b/>
              </w:rPr>
              <w:t>APPLICATION OF ENTERGY TEXAS, INC. TO AMEND ITS CERTIFICATE OF CONVENIENCE AND NECESSITY TO CONSTRUCT ORANGE COUNTY ADVANCED POWER STATION</w:t>
            </w:r>
          </w:p>
          <w:p w14:paraId="62ECB7C0" w14:textId="77777777" w:rsidR="001D30E5" w:rsidRDefault="001D30E5">
            <w:pPr>
              <w:rPr>
                <w:rFonts w:eastAsia="Calibri"/>
                <w:b/>
              </w:rPr>
            </w:pPr>
          </w:p>
        </w:tc>
        <w:tc>
          <w:tcPr>
            <w:tcW w:w="450" w:type="dxa"/>
          </w:tcPr>
          <w:p w14:paraId="2E5234AA" w14:textId="77777777" w:rsidR="001D30E5" w:rsidRDefault="00411301">
            <w:pPr>
              <w:jc w:val="center"/>
              <w:rPr>
                <w:b/>
                <w:bCs/>
              </w:rPr>
            </w:pPr>
            <w:r>
              <w:rPr>
                <w:b/>
                <w:bCs/>
              </w:rPr>
              <w:t>§</w:t>
            </w:r>
          </w:p>
          <w:p w14:paraId="22BB3786" w14:textId="77777777" w:rsidR="001D30E5" w:rsidRDefault="00411301">
            <w:pPr>
              <w:jc w:val="center"/>
              <w:rPr>
                <w:b/>
                <w:bCs/>
              </w:rPr>
            </w:pPr>
            <w:r>
              <w:rPr>
                <w:b/>
                <w:bCs/>
              </w:rPr>
              <w:t>§</w:t>
            </w:r>
          </w:p>
          <w:p w14:paraId="034DDA63" w14:textId="77777777" w:rsidR="001D30E5" w:rsidRDefault="00411301">
            <w:pPr>
              <w:jc w:val="center"/>
              <w:rPr>
                <w:b/>
                <w:bCs/>
              </w:rPr>
            </w:pPr>
            <w:r>
              <w:rPr>
                <w:b/>
                <w:bCs/>
              </w:rPr>
              <w:t>§</w:t>
            </w:r>
          </w:p>
          <w:p w14:paraId="5CBFBF1C" w14:textId="77777777" w:rsidR="001D30E5" w:rsidRDefault="00411301">
            <w:pPr>
              <w:jc w:val="center"/>
              <w:rPr>
                <w:b/>
                <w:bCs/>
              </w:rPr>
            </w:pPr>
            <w:r>
              <w:rPr>
                <w:b/>
                <w:bCs/>
              </w:rPr>
              <w:t>§</w:t>
            </w:r>
          </w:p>
          <w:p w14:paraId="43138963" w14:textId="77777777" w:rsidR="001D30E5" w:rsidRDefault="00411301">
            <w:pPr>
              <w:jc w:val="center"/>
              <w:rPr>
                <w:b/>
                <w:bCs/>
              </w:rPr>
            </w:pPr>
            <w:r>
              <w:rPr>
                <w:b/>
                <w:bCs/>
              </w:rPr>
              <w:t>§</w:t>
            </w:r>
          </w:p>
          <w:p w14:paraId="5F8A813E" w14:textId="77777777" w:rsidR="001D30E5" w:rsidRDefault="001D30E5">
            <w:pPr>
              <w:jc w:val="center"/>
              <w:rPr>
                <w:b/>
                <w:bCs/>
              </w:rPr>
            </w:pPr>
          </w:p>
          <w:p w14:paraId="5F8CFF0A" w14:textId="77777777" w:rsidR="001D30E5" w:rsidRDefault="001D30E5">
            <w:pPr>
              <w:rPr>
                <w:rFonts w:eastAsia="Calibri"/>
                <w:b/>
              </w:rPr>
            </w:pPr>
          </w:p>
        </w:tc>
        <w:tc>
          <w:tcPr>
            <w:tcW w:w="4428" w:type="dxa"/>
          </w:tcPr>
          <w:p w14:paraId="3F210277" w14:textId="77777777" w:rsidR="001D30E5" w:rsidRDefault="001D30E5">
            <w:pPr>
              <w:jc w:val="center"/>
              <w:rPr>
                <w:rFonts w:eastAsia="Calibri"/>
                <w:b/>
                <w:bCs/>
              </w:rPr>
            </w:pPr>
          </w:p>
          <w:p w14:paraId="70687548" w14:textId="77777777" w:rsidR="001D30E5" w:rsidRDefault="00411301">
            <w:pPr>
              <w:jc w:val="center"/>
              <w:rPr>
                <w:rFonts w:eastAsia="Calibri"/>
                <w:b/>
                <w:bCs/>
              </w:rPr>
            </w:pPr>
            <w:r>
              <w:rPr>
                <w:rFonts w:eastAsia="Calibri"/>
                <w:b/>
                <w:bCs/>
              </w:rPr>
              <w:t xml:space="preserve">PUBLIC UTILITY COMMISSION </w:t>
            </w:r>
          </w:p>
          <w:p w14:paraId="72683421" w14:textId="77777777" w:rsidR="001D30E5" w:rsidRDefault="001D30E5">
            <w:pPr>
              <w:jc w:val="center"/>
              <w:rPr>
                <w:rFonts w:eastAsia="Calibri"/>
                <w:b/>
                <w:bCs/>
              </w:rPr>
            </w:pPr>
          </w:p>
          <w:p w14:paraId="22A4C243" w14:textId="77777777" w:rsidR="001D30E5" w:rsidRDefault="00411301">
            <w:pPr>
              <w:jc w:val="center"/>
              <w:rPr>
                <w:rFonts w:eastAsia="Calibri"/>
                <w:b/>
                <w:bCs/>
              </w:rPr>
            </w:pPr>
            <w:r>
              <w:rPr>
                <w:rFonts w:eastAsia="Calibri"/>
                <w:b/>
                <w:bCs/>
              </w:rPr>
              <w:t>OF TEXAS</w:t>
            </w:r>
          </w:p>
          <w:p w14:paraId="25BD49F3" w14:textId="77777777" w:rsidR="001D30E5" w:rsidRDefault="001D30E5">
            <w:pPr>
              <w:jc w:val="center"/>
              <w:rPr>
                <w:rFonts w:eastAsia="Calibri"/>
                <w:b/>
              </w:rPr>
            </w:pPr>
          </w:p>
        </w:tc>
      </w:tr>
    </w:tbl>
    <w:p w14:paraId="2219C684" w14:textId="77777777" w:rsidR="001D30E5" w:rsidRDefault="001D30E5">
      <w:pPr>
        <w:spacing w:line="480" w:lineRule="auto"/>
        <w:jc w:val="center"/>
        <w:rPr>
          <w:rFonts w:eastAsia="Calibri"/>
          <w:b/>
        </w:rPr>
      </w:pPr>
    </w:p>
    <w:p w14:paraId="51E16BC0" w14:textId="77777777" w:rsidR="001D30E5" w:rsidRDefault="001D30E5">
      <w:pPr>
        <w:spacing w:line="480" w:lineRule="auto"/>
        <w:jc w:val="center"/>
        <w:rPr>
          <w:rFonts w:eastAsia="Calibri"/>
          <w:b/>
        </w:rPr>
      </w:pPr>
    </w:p>
    <w:p w14:paraId="4FEF8E9F" w14:textId="77777777" w:rsidR="001D30E5" w:rsidRDefault="001D30E5">
      <w:pPr>
        <w:spacing w:line="480" w:lineRule="auto"/>
        <w:jc w:val="center"/>
        <w:rPr>
          <w:rFonts w:eastAsia="Calibri"/>
          <w:b/>
        </w:rPr>
      </w:pPr>
    </w:p>
    <w:p w14:paraId="343F5CDA" w14:textId="77777777" w:rsidR="001D30E5" w:rsidRDefault="00411301">
      <w:pPr>
        <w:spacing w:line="480" w:lineRule="auto"/>
        <w:jc w:val="center"/>
        <w:rPr>
          <w:b/>
          <w:szCs w:val="20"/>
        </w:rPr>
      </w:pPr>
      <w:r>
        <w:rPr>
          <w:b/>
          <w:szCs w:val="20"/>
        </w:rPr>
        <w:t>DIRECT TESTIMONY</w:t>
      </w:r>
    </w:p>
    <w:p w14:paraId="7DD9F108" w14:textId="77777777" w:rsidR="001D30E5" w:rsidRDefault="00411301">
      <w:pPr>
        <w:spacing w:line="480" w:lineRule="auto"/>
        <w:jc w:val="center"/>
        <w:rPr>
          <w:b/>
          <w:szCs w:val="20"/>
        </w:rPr>
      </w:pPr>
      <w:r>
        <w:rPr>
          <w:b/>
          <w:szCs w:val="20"/>
        </w:rPr>
        <w:t>OF</w:t>
      </w:r>
    </w:p>
    <w:p w14:paraId="2D00B7F1" w14:textId="5D90E7CC" w:rsidR="001D30E5" w:rsidRDefault="00411301">
      <w:pPr>
        <w:spacing w:line="480" w:lineRule="auto"/>
        <w:jc w:val="center"/>
        <w:rPr>
          <w:b/>
        </w:rPr>
      </w:pPr>
      <w:r>
        <w:rPr>
          <w:b/>
        </w:rPr>
        <w:t>ROBERT E. HEBNER, PH.D</w:t>
      </w:r>
      <w:r w:rsidR="00A44FE7">
        <w:rPr>
          <w:b/>
        </w:rPr>
        <w:t>.</w:t>
      </w:r>
    </w:p>
    <w:p w14:paraId="0F9D7218" w14:textId="77777777" w:rsidR="001D30E5" w:rsidRDefault="001D30E5">
      <w:pPr>
        <w:spacing w:line="480" w:lineRule="auto"/>
        <w:jc w:val="center"/>
        <w:rPr>
          <w:b/>
        </w:rPr>
      </w:pPr>
    </w:p>
    <w:p w14:paraId="262EB885" w14:textId="77777777" w:rsidR="001D30E5" w:rsidRDefault="00411301">
      <w:pPr>
        <w:spacing w:line="480" w:lineRule="auto"/>
        <w:jc w:val="center"/>
        <w:rPr>
          <w:szCs w:val="20"/>
        </w:rPr>
      </w:pPr>
      <w:r>
        <w:rPr>
          <w:b/>
          <w:szCs w:val="20"/>
        </w:rPr>
        <w:t>ON BEHALF OF</w:t>
      </w:r>
    </w:p>
    <w:p w14:paraId="696989D3" w14:textId="77777777" w:rsidR="001D30E5" w:rsidRDefault="00411301">
      <w:pPr>
        <w:spacing w:line="480" w:lineRule="auto"/>
        <w:jc w:val="center"/>
        <w:rPr>
          <w:b/>
          <w:szCs w:val="20"/>
        </w:rPr>
      </w:pPr>
      <w:r>
        <w:rPr>
          <w:b/>
          <w:szCs w:val="20"/>
        </w:rPr>
        <w:t>ENTERGY TEXAS, INC.</w:t>
      </w:r>
    </w:p>
    <w:p w14:paraId="10D956BF" w14:textId="77777777" w:rsidR="001D30E5" w:rsidRDefault="001D30E5">
      <w:pPr>
        <w:spacing w:line="480" w:lineRule="auto"/>
        <w:jc w:val="center"/>
        <w:rPr>
          <w:szCs w:val="20"/>
        </w:rPr>
      </w:pPr>
    </w:p>
    <w:p w14:paraId="7CE190DC" w14:textId="77777777" w:rsidR="001D30E5" w:rsidRDefault="001D30E5">
      <w:pPr>
        <w:spacing w:line="480" w:lineRule="auto"/>
        <w:jc w:val="center"/>
        <w:rPr>
          <w:szCs w:val="20"/>
        </w:rPr>
      </w:pPr>
    </w:p>
    <w:p w14:paraId="747F3FF4" w14:textId="77777777" w:rsidR="001D30E5" w:rsidRDefault="001D30E5">
      <w:pPr>
        <w:spacing w:line="480" w:lineRule="auto"/>
        <w:jc w:val="center"/>
        <w:rPr>
          <w:b/>
          <w:szCs w:val="20"/>
        </w:rPr>
      </w:pPr>
    </w:p>
    <w:p w14:paraId="50C5738B" w14:textId="77777777" w:rsidR="001D30E5" w:rsidRDefault="001D30E5">
      <w:pPr>
        <w:spacing w:line="480" w:lineRule="auto"/>
        <w:jc w:val="center"/>
        <w:rPr>
          <w:b/>
        </w:rPr>
      </w:pPr>
    </w:p>
    <w:p w14:paraId="41EE77BC" w14:textId="77777777" w:rsidR="001D30E5" w:rsidRDefault="001D30E5">
      <w:pPr>
        <w:spacing w:line="480" w:lineRule="auto"/>
        <w:jc w:val="center"/>
        <w:rPr>
          <w:b/>
        </w:rPr>
      </w:pPr>
    </w:p>
    <w:p w14:paraId="747431C6" w14:textId="77777777" w:rsidR="001D30E5" w:rsidRDefault="001D30E5">
      <w:pPr>
        <w:spacing w:line="480" w:lineRule="auto"/>
        <w:jc w:val="center"/>
        <w:rPr>
          <w:b/>
        </w:rPr>
      </w:pPr>
    </w:p>
    <w:p w14:paraId="28A667E6" w14:textId="77777777" w:rsidR="001D30E5" w:rsidRDefault="001D30E5">
      <w:pPr>
        <w:spacing w:line="480" w:lineRule="auto"/>
        <w:jc w:val="center"/>
        <w:rPr>
          <w:b/>
        </w:rPr>
      </w:pPr>
    </w:p>
    <w:p w14:paraId="12ECBCD9" w14:textId="2FD60927" w:rsidR="001D30E5" w:rsidRDefault="00411301">
      <w:pPr>
        <w:autoSpaceDE w:val="0"/>
        <w:autoSpaceDN w:val="0"/>
        <w:adjustRightInd w:val="0"/>
        <w:spacing w:line="480" w:lineRule="auto"/>
        <w:jc w:val="center"/>
        <w:rPr>
          <w:b/>
          <w:bCs/>
        </w:rPr>
        <w:sectPr w:rsidR="001D30E5">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fmt="lowerRoman" w:start="1"/>
          <w:cols w:space="720"/>
          <w:titlePg/>
          <w:docGrid w:linePitch="360"/>
        </w:sectPr>
      </w:pPr>
      <w:r>
        <w:rPr>
          <w:b/>
        </w:rPr>
        <w:t>SEPTEMBER 2021</w:t>
      </w:r>
    </w:p>
    <w:p w14:paraId="1F157F97" w14:textId="77777777" w:rsidR="001D30E5" w:rsidRDefault="00411301">
      <w:pPr>
        <w:jc w:val="center"/>
        <w:rPr>
          <w:b/>
        </w:rPr>
      </w:pPr>
      <w:r>
        <w:rPr>
          <w:b/>
        </w:rPr>
        <w:lastRenderedPageBreak/>
        <w:t xml:space="preserve">ENTERGY TEXAS, INC. </w:t>
      </w:r>
    </w:p>
    <w:p w14:paraId="16CC8485" w14:textId="3C957A39" w:rsidR="001D30E5" w:rsidRDefault="00411301">
      <w:pPr>
        <w:jc w:val="center"/>
        <w:rPr>
          <w:b/>
        </w:rPr>
      </w:pPr>
      <w:r>
        <w:rPr>
          <w:b/>
        </w:rPr>
        <w:t>DIRECT TESTIMONY OF ROBERT E. HEBNER, PH.D</w:t>
      </w:r>
      <w:r w:rsidR="00A44FE7">
        <w:rPr>
          <w:b/>
        </w:rPr>
        <w:t>.</w:t>
      </w:r>
    </w:p>
    <w:p w14:paraId="3F04B2CA" w14:textId="497CE269" w:rsidR="001D30E5" w:rsidRDefault="00411301">
      <w:pPr>
        <w:jc w:val="center"/>
        <w:rPr>
          <w:b/>
        </w:rPr>
      </w:pPr>
      <w:r>
        <w:rPr>
          <w:b/>
        </w:rPr>
        <w:t xml:space="preserve">DOCKET NO. </w:t>
      </w:r>
      <w:r w:rsidR="00D37EB2">
        <w:rPr>
          <w:b/>
        </w:rPr>
        <w:t>52487</w:t>
      </w:r>
    </w:p>
    <w:p w14:paraId="324BCC5F" w14:textId="77777777" w:rsidR="001D30E5" w:rsidRDefault="001D30E5">
      <w:pPr>
        <w:jc w:val="center"/>
        <w:rPr>
          <w:b/>
        </w:rPr>
      </w:pPr>
    </w:p>
    <w:p w14:paraId="20EC1BF3" w14:textId="77777777" w:rsidR="001D30E5" w:rsidRDefault="001D30E5">
      <w:pPr>
        <w:jc w:val="center"/>
        <w:rPr>
          <w:b/>
        </w:rPr>
      </w:pPr>
    </w:p>
    <w:p w14:paraId="1CF8FF0A" w14:textId="77777777" w:rsidR="001D30E5" w:rsidRDefault="001D30E5">
      <w:pPr>
        <w:jc w:val="center"/>
        <w:rPr>
          <w:b/>
        </w:rPr>
      </w:pPr>
    </w:p>
    <w:p w14:paraId="175CDA3B" w14:textId="77777777" w:rsidR="001D30E5" w:rsidRDefault="00411301">
      <w:pPr>
        <w:jc w:val="center"/>
        <w:rPr>
          <w:b/>
          <w:u w:val="single"/>
        </w:rPr>
      </w:pPr>
      <w:r>
        <w:rPr>
          <w:b/>
          <w:u w:val="single"/>
        </w:rPr>
        <w:t>TABLE OF CONTENTS</w:t>
      </w:r>
    </w:p>
    <w:p w14:paraId="602CDABB" w14:textId="77777777" w:rsidR="001D30E5" w:rsidRDefault="001D30E5">
      <w:pPr>
        <w:jc w:val="center"/>
        <w:rPr>
          <w:b/>
          <w:u w:val="single"/>
        </w:rPr>
      </w:pPr>
    </w:p>
    <w:p w14:paraId="33D014D9" w14:textId="77777777" w:rsidR="001D30E5" w:rsidRDefault="00411301">
      <w:pPr>
        <w:jc w:val="right"/>
        <w:rPr>
          <w:u w:val="single"/>
        </w:rPr>
      </w:pPr>
      <w:r>
        <w:rPr>
          <w:u w:val="single"/>
        </w:rPr>
        <w:t>Page</w:t>
      </w:r>
    </w:p>
    <w:p w14:paraId="50BC854C" w14:textId="77777777" w:rsidR="001D30E5" w:rsidRDefault="001D30E5">
      <w:pPr>
        <w:jc w:val="center"/>
        <w:rPr>
          <w:bCs/>
        </w:rPr>
      </w:pPr>
    </w:p>
    <w:p w14:paraId="19AB8BD9" w14:textId="27760FEC" w:rsidR="00B64775" w:rsidRDefault="00B64775">
      <w:pPr>
        <w:pStyle w:val="TOC1"/>
        <w:rPr>
          <w:rFonts w:asciiTheme="minorHAnsi" w:eastAsiaTheme="minorEastAsia" w:hAnsiTheme="minorHAnsi" w:cstheme="minorBidi"/>
          <w:sz w:val="22"/>
          <w:szCs w:val="22"/>
        </w:rPr>
      </w:pPr>
      <w:r>
        <w:rPr>
          <w:bCs/>
        </w:rPr>
        <w:fldChar w:fldCharType="begin"/>
      </w:r>
      <w:r>
        <w:rPr>
          <w:bCs/>
        </w:rPr>
        <w:instrText xml:space="preserve"> TOC \t "Heading 1,1,Heading 2,2,Style1,1,Style2,1" </w:instrText>
      </w:r>
      <w:r>
        <w:rPr>
          <w:bCs/>
        </w:rPr>
        <w:fldChar w:fldCharType="separate"/>
      </w:r>
      <w:r w:rsidRPr="004F5455">
        <w:t>I.</w:t>
      </w:r>
      <w:r>
        <w:rPr>
          <w:rFonts w:asciiTheme="minorHAnsi" w:eastAsiaTheme="minorEastAsia" w:hAnsiTheme="minorHAnsi" w:cstheme="minorBidi"/>
          <w:sz w:val="22"/>
          <w:szCs w:val="22"/>
        </w:rPr>
        <w:tab/>
      </w:r>
      <w:r w:rsidRPr="004F5455">
        <w:t>Introduction and Purpose</w:t>
      </w:r>
      <w:r>
        <w:tab/>
      </w:r>
      <w:r>
        <w:fldChar w:fldCharType="begin"/>
      </w:r>
      <w:r>
        <w:instrText xml:space="preserve"> PAGEREF _Toc80251284 \h </w:instrText>
      </w:r>
      <w:r>
        <w:fldChar w:fldCharType="separate"/>
      </w:r>
      <w:r w:rsidR="00CF69BD">
        <w:t>1</w:t>
      </w:r>
      <w:r>
        <w:fldChar w:fldCharType="end"/>
      </w:r>
    </w:p>
    <w:p w14:paraId="6520D0EE" w14:textId="76E979DA" w:rsidR="00B64775" w:rsidRDefault="00B64775">
      <w:pPr>
        <w:pStyle w:val="TOC1"/>
        <w:rPr>
          <w:rFonts w:asciiTheme="minorHAnsi" w:eastAsiaTheme="minorEastAsia" w:hAnsiTheme="minorHAnsi" w:cstheme="minorBidi"/>
          <w:sz w:val="22"/>
          <w:szCs w:val="22"/>
        </w:rPr>
      </w:pPr>
      <w:r w:rsidRPr="004F5455">
        <w:t>II.</w:t>
      </w:r>
      <w:r>
        <w:rPr>
          <w:rFonts w:asciiTheme="minorHAnsi" w:eastAsiaTheme="minorEastAsia" w:hAnsiTheme="minorHAnsi" w:cstheme="minorBidi"/>
          <w:sz w:val="22"/>
          <w:szCs w:val="22"/>
        </w:rPr>
        <w:tab/>
      </w:r>
      <w:r w:rsidRPr="004F5455">
        <w:t>Hydrogen as a Fuel Source</w:t>
      </w:r>
      <w:r>
        <w:tab/>
      </w:r>
      <w:r>
        <w:fldChar w:fldCharType="begin"/>
      </w:r>
      <w:r>
        <w:instrText xml:space="preserve"> PAGEREF _Toc80251285 \h </w:instrText>
      </w:r>
      <w:r>
        <w:fldChar w:fldCharType="separate"/>
      </w:r>
      <w:r w:rsidR="00CF69BD">
        <w:t>4</w:t>
      </w:r>
      <w:r>
        <w:fldChar w:fldCharType="end"/>
      </w:r>
    </w:p>
    <w:p w14:paraId="36FC3724" w14:textId="422AD84A" w:rsidR="00B64775" w:rsidRDefault="00B64775">
      <w:pPr>
        <w:pStyle w:val="TOC1"/>
        <w:rPr>
          <w:rFonts w:asciiTheme="minorHAnsi" w:eastAsiaTheme="minorEastAsia" w:hAnsiTheme="minorHAnsi" w:cstheme="minorBidi"/>
          <w:sz w:val="22"/>
          <w:szCs w:val="22"/>
        </w:rPr>
      </w:pPr>
      <w:r w:rsidRPr="004F5455">
        <w:t>III.</w:t>
      </w:r>
      <w:r>
        <w:rPr>
          <w:rFonts w:asciiTheme="minorHAnsi" w:eastAsiaTheme="minorEastAsia" w:hAnsiTheme="minorHAnsi" w:cstheme="minorBidi"/>
          <w:sz w:val="22"/>
          <w:szCs w:val="22"/>
        </w:rPr>
        <w:tab/>
      </w:r>
      <w:r w:rsidRPr="004F5455">
        <w:t>Utilization of Hydrogen in the Electric Utility Industry</w:t>
      </w:r>
      <w:r>
        <w:tab/>
      </w:r>
      <w:r>
        <w:fldChar w:fldCharType="begin"/>
      </w:r>
      <w:r>
        <w:instrText xml:space="preserve"> PAGEREF _Toc80251286 \h </w:instrText>
      </w:r>
      <w:r>
        <w:fldChar w:fldCharType="separate"/>
      </w:r>
      <w:r w:rsidR="00CF69BD">
        <w:t>10</w:t>
      </w:r>
      <w:r>
        <w:fldChar w:fldCharType="end"/>
      </w:r>
    </w:p>
    <w:p w14:paraId="04DC4383" w14:textId="3BA7E920" w:rsidR="00B64775" w:rsidRDefault="00B64775">
      <w:pPr>
        <w:pStyle w:val="TOC1"/>
        <w:rPr>
          <w:rFonts w:asciiTheme="minorHAnsi" w:eastAsiaTheme="minorEastAsia" w:hAnsiTheme="minorHAnsi" w:cstheme="minorBidi"/>
          <w:sz w:val="22"/>
          <w:szCs w:val="22"/>
        </w:rPr>
      </w:pPr>
      <w:r w:rsidRPr="004F5455">
        <w:t>IV.</w:t>
      </w:r>
      <w:r>
        <w:rPr>
          <w:rFonts w:asciiTheme="minorHAnsi" w:eastAsiaTheme="minorEastAsia" w:hAnsiTheme="minorHAnsi" w:cstheme="minorBidi"/>
          <w:sz w:val="22"/>
          <w:szCs w:val="22"/>
        </w:rPr>
        <w:tab/>
      </w:r>
      <w:r w:rsidRPr="004F5455">
        <w:t>Conclusion</w:t>
      </w:r>
      <w:r>
        <w:tab/>
      </w:r>
      <w:r>
        <w:fldChar w:fldCharType="begin"/>
      </w:r>
      <w:r>
        <w:instrText xml:space="preserve"> PAGEREF _Toc80251287 \h </w:instrText>
      </w:r>
      <w:r>
        <w:fldChar w:fldCharType="separate"/>
      </w:r>
      <w:r w:rsidR="00CF69BD">
        <w:t>21</w:t>
      </w:r>
      <w:r>
        <w:fldChar w:fldCharType="end"/>
      </w:r>
    </w:p>
    <w:p w14:paraId="720CD4CD" w14:textId="664FACF8" w:rsidR="001D30E5" w:rsidRDefault="00B64775" w:rsidP="00B64775">
      <w:pPr>
        <w:pStyle w:val="TOC1"/>
      </w:pPr>
      <w:r>
        <w:rPr>
          <w:bCs/>
        </w:rPr>
        <w:fldChar w:fldCharType="end"/>
      </w:r>
    </w:p>
    <w:p w14:paraId="714CBEB2" w14:textId="77777777" w:rsidR="001D30E5" w:rsidRDefault="00411301">
      <w:pPr>
        <w:spacing w:after="240"/>
        <w:jc w:val="center"/>
        <w:rPr>
          <w:b/>
          <w:u w:val="single"/>
        </w:rPr>
      </w:pPr>
      <w:r>
        <w:rPr>
          <w:b/>
          <w:u w:val="single"/>
        </w:rPr>
        <w:t>EXHIBITS</w:t>
      </w:r>
    </w:p>
    <w:p w14:paraId="283CA72E" w14:textId="65FE91A4" w:rsidR="001D30E5" w:rsidRDefault="00411301">
      <w:pPr>
        <w:spacing w:after="240"/>
      </w:pPr>
      <w:r>
        <w:t xml:space="preserve">Exhibit </w:t>
      </w:r>
      <w:r w:rsidR="005677DF">
        <w:t>REH-1</w:t>
      </w:r>
      <w:r>
        <w:t xml:space="preserve"> </w:t>
      </w:r>
      <w:r>
        <w:tab/>
        <w:t>Resume</w:t>
      </w:r>
    </w:p>
    <w:p w14:paraId="39E65492" w14:textId="77777777" w:rsidR="001D30E5" w:rsidRDefault="001D30E5">
      <w:pPr>
        <w:spacing w:after="240"/>
        <w:ind w:left="2160" w:hanging="2160"/>
        <w:rPr>
          <w:b/>
        </w:rPr>
      </w:pPr>
    </w:p>
    <w:p w14:paraId="54473C1B" w14:textId="77777777" w:rsidR="001D30E5" w:rsidRDefault="001D30E5">
      <w:pPr>
        <w:spacing w:after="240"/>
      </w:pPr>
    </w:p>
    <w:p w14:paraId="4BD9B432" w14:textId="77777777" w:rsidR="001D30E5" w:rsidRDefault="00411301">
      <w:pPr>
        <w:spacing w:after="240"/>
      </w:pPr>
      <w:r>
        <w:t xml:space="preserve"> </w:t>
      </w:r>
    </w:p>
    <w:p w14:paraId="79E2BA94" w14:textId="77777777" w:rsidR="001D30E5" w:rsidRDefault="001D30E5">
      <w:pPr>
        <w:pStyle w:val="Header"/>
        <w:tabs>
          <w:tab w:val="clear" w:pos="4320"/>
          <w:tab w:val="center" w:pos="4680"/>
        </w:tabs>
        <w:spacing w:line="480" w:lineRule="auto"/>
        <w:jc w:val="center"/>
      </w:pPr>
    </w:p>
    <w:p w14:paraId="0A1CA67F" w14:textId="77777777" w:rsidR="001D30E5" w:rsidRDefault="001D30E5">
      <w:pPr>
        <w:pStyle w:val="Header"/>
        <w:tabs>
          <w:tab w:val="clear" w:pos="4320"/>
          <w:tab w:val="center" w:pos="4680"/>
        </w:tabs>
        <w:spacing w:line="480" w:lineRule="auto"/>
        <w:jc w:val="center"/>
        <w:sectPr w:rsidR="001D30E5">
          <w:headerReference w:type="first" r:id="rId14"/>
          <w:footerReference w:type="first" r:id="rId15"/>
          <w:pgSz w:w="12240" w:h="15840" w:code="1"/>
          <w:pgMar w:top="1440" w:right="1440" w:bottom="1440" w:left="1440" w:header="720" w:footer="720" w:gutter="0"/>
          <w:pgNumType w:fmt="lowerRoman" w:start="1"/>
          <w:cols w:space="720"/>
          <w:titlePg/>
          <w:docGrid w:linePitch="360"/>
        </w:sectPr>
      </w:pPr>
      <w:bookmarkStart w:id="0" w:name="_Toc171514637"/>
    </w:p>
    <w:p w14:paraId="082C0AD1" w14:textId="77777777" w:rsidR="001D30E5" w:rsidRDefault="00411301">
      <w:pPr>
        <w:pStyle w:val="Heading1"/>
        <w:tabs>
          <w:tab w:val="clear" w:pos="4140"/>
          <w:tab w:val="num" w:pos="720"/>
        </w:tabs>
        <w:ind w:left="720"/>
        <w:rPr>
          <w:rFonts w:ascii="Times New Roman" w:hAnsi="Times New Roman"/>
        </w:rPr>
      </w:pPr>
      <w:bookmarkStart w:id="1" w:name="_Toc245784094"/>
      <w:bookmarkStart w:id="2" w:name="_Toc80251068"/>
      <w:bookmarkStart w:id="3" w:name="_Toc80251284"/>
      <w:r>
        <w:rPr>
          <w:rFonts w:ascii="Times New Roman" w:hAnsi="Times New Roman"/>
        </w:rPr>
        <w:lastRenderedPageBreak/>
        <w:t>Introduction and Purpose</w:t>
      </w:r>
      <w:bookmarkEnd w:id="0"/>
      <w:bookmarkEnd w:id="1"/>
      <w:bookmarkEnd w:id="2"/>
      <w:bookmarkEnd w:id="3"/>
    </w:p>
    <w:p w14:paraId="1CA79BA4" w14:textId="77777777" w:rsidR="001D30E5" w:rsidRDefault="00411301" w:rsidP="009F15DE">
      <w:pPr>
        <w:pStyle w:val="Q"/>
      </w:pPr>
      <w:r>
        <w:t>PLEASE STATE YOUR NAME, BUSINESS ADDRESS, and position.</w:t>
      </w:r>
    </w:p>
    <w:p w14:paraId="650AA064" w14:textId="72FAD5F0" w:rsidR="001D30E5" w:rsidRDefault="00411301" w:rsidP="00A5405C">
      <w:pPr>
        <w:pStyle w:val="Answer"/>
      </w:pPr>
      <w:r>
        <w:t>A.</w:t>
      </w:r>
      <w:r>
        <w:tab/>
        <w:t xml:space="preserve">My name is Robert E. Hebner, Ph.D.  My business address is </w:t>
      </w:r>
      <w:r w:rsidR="00963FC0">
        <w:t>9600 Bitternut Cove</w:t>
      </w:r>
      <w:r>
        <w:t>, Austin, TX, 7875</w:t>
      </w:r>
      <w:r w:rsidR="00963FC0">
        <w:t>9</w:t>
      </w:r>
      <w:r>
        <w:t xml:space="preserve">.  I am </w:t>
      </w:r>
      <w:r w:rsidR="00963FC0">
        <w:t>president of Tortuga Real Estate LLC., through which I provide technical consulting services</w:t>
      </w:r>
      <w:r>
        <w:t>.</w:t>
      </w:r>
    </w:p>
    <w:p w14:paraId="63B816E9" w14:textId="77777777" w:rsidR="001D30E5" w:rsidRDefault="00411301" w:rsidP="000160A3">
      <w:pPr>
        <w:pStyle w:val="Answer"/>
      </w:pPr>
      <w:r>
        <w:t xml:space="preserve">  </w:t>
      </w:r>
    </w:p>
    <w:p w14:paraId="2853C8C8" w14:textId="77777777" w:rsidR="001D30E5" w:rsidRDefault="00411301" w:rsidP="009F15DE">
      <w:pPr>
        <w:pStyle w:val="Q"/>
      </w:pPr>
      <w:r>
        <w:t>ON WHOSE BEHALF ARE YOU TESTIFYING IN THIS PROCEEDING?</w:t>
      </w:r>
    </w:p>
    <w:p w14:paraId="314A55DB" w14:textId="69709A1A" w:rsidR="001D30E5" w:rsidRDefault="00411301" w:rsidP="000160A3">
      <w:pPr>
        <w:pStyle w:val="Answer"/>
      </w:pPr>
      <w:r>
        <w:t>A.</w:t>
      </w:r>
      <w:r>
        <w:tab/>
        <w:t xml:space="preserve">I am submitting this Direct Testimony to the Public Utility Commission of Texas on behalf of Entergy Texas, Inc. (“ETI” or “the Company”).  </w:t>
      </w:r>
    </w:p>
    <w:p w14:paraId="0BCC8B0D" w14:textId="77777777" w:rsidR="001D30E5" w:rsidRDefault="00411301" w:rsidP="000160A3">
      <w:pPr>
        <w:pStyle w:val="Answer"/>
      </w:pPr>
      <w:r>
        <w:t xml:space="preserve">    </w:t>
      </w:r>
    </w:p>
    <w:p w14:paraId="40FF390E" w14:textId="77777777" w:rsidR="001D30E5" w:rsidRDefault="00411301" w:rsidP="009F15DE">
      <w:pPr>
        <w:pStyle w:val="Q"/>
      </w:pPr>
      <w:r>
        <w:t>PLEASE DESCRIBE YOUR EDUCATIONAL BACKGROUND AND PROFESSIONAL EXPERIENCE.</w:t>
      </w:r>
    </w:p>
    <w:p w14:paraId="1A3CA4EE" w14:textId="1BEE3C85" w:rsidR="001D30E5" w:rsidRDefault="000160A3" w:rsidP="000160A3">
      <w:pPr>
        <w:pStyle w:val="Answer"/>
      </w:pPr>
      <w:r>
        <w:t>A.</w:t>
      </w:r>
      <w:r>
        <w:tab/>
      </w:r>
      <w:r w:rsidR="00411301">
        <w:t xml:space="preserve">I earned a Bachelor of Science degree in Physics from St. Mary’s University in 1967.  In addition, I earned Master of Science and Ph.D. degrees in Physics from the University of Missouri, Rolla in 1969 and 1971, respectively.  </w:t>
      </w:r>
    </w:p>
    <w:p w14:paraId="239005F2" w14:textId="1FD4C212" w:rsidR="001D30E5" w:rsidRDefault="00411301" w:rsidP="000160A3">
      <w:pPr>
        <w:pStyle w:val="Answer2"/>
      </w:pPr>
      <w:r>
        <w:t>The preponderance of my early career was spent at the National Institute of Standards and Technology (</w:t>
      </w:r>
      <w:r w:rsidR="00C25E55">
        <w:t>“</w:t>
      </w:r>
      <w:r>
        <w:t>NIST</w:t>
      </w:r>
      <w:r w:rsidR="00C25E55">
        <w:t>”</w:t>
      </w:r>
      <w:r>
        <w:t xml:space="preserve">) where I started as a bench scientist and rose to </w:t>
      </w:r>
      <w:r w:rsidR="00D6584F">
        <w:t>I</w:t>
      </w:r>
      <w:r>
        <w:t>nterim Director</w:t>
      </w:r>
      <w:r w:rsidR="00963FC0">
        <w:t>.  I was</w:t>
      </w:r>
      <w:r>
        <w:t xml:space="preserve"> a career member of the Senior Executive Service.  My NIST career was augmented by short stints at the Defense Advanced Research Projects Agency, Sandia National Laboratory</w:t>
      </w:r>
      <w:r w:rsidR="0031796D">
        <w:t>,</w:t>
      </w:r>
      <w:r>
        <w:t xml:space="preserve"> and the U. S. Office of Management and Budget.  Relevant technical accomplishments at NIST included developing and standardizing techniques to test power system apparatus, contributing to the development and management of a mobile system to calibrate Capacitively Coupled Voltage </w:t>
      </w:r>
      <w:r>
        <w:lastRenderedPageBreak/>
        <w:t>Transformers in utility substations, and the modernization of the system to calibrate watthour mete</w:t>
      </w:r>
      <w:r w:rsidR="004A5DAD">
        <w:t>rs</w:t>
      </w:r>
      <w:r>
        <w:t xml:space="preserve"> for the revenue metering of electricity.  Success required development of a method to calibrate electronic meters as well as electromechanical meters.  This activity earned recognition from </w:t>
      </w:r>
      <w:r w:rsidR="0062591C">
        <w:t xml:space="preserve">the </w:t>
      </w:r>
      <w:r>
        <w:t>IEEE, reduced the cost of traceability to national standards by millions of dollars, and removed a barrier to the growth of the Smart Grid.</w:t>
      </w:r>
    </w:p>
    <w:p w14:paraId="6740D354" w14:textId="5358F9DA" w:rsidR="001D30E5" w:rsidRDefault="00411301" w:rsidP="000160A3">
      <w:pPr>
        <w:pStyle w:val="Answer2"/>
      </w:pPr>
      <w:r>
        <w:t xml:space="preserve">After 27 years as a Federal employee, I accepted an appointment at </w:t>
      </w:r>
      <w:r w:rsidR="0062591C">
        <w:t>the University of Texas (</w:t>
      </w:r>
      <w:r w:rsidR="00F60E25">
        <w:t>“</w:t>
      </w:r>
      <w:r>
        <w:t>UT</w:t>
      </w:r>
      <w:r w:rsidR="00F60E25">
        <w:t>”</w:t>
      </w:r>
      <w:r w:rsidR="0062591C">
        <w:t>)</w:t>
      </w:r>
      <w:r>
        <w:t xml:space="preserve"> where I am a research professor and the Director of the Center for Electromechanics.  A focus of my research at UT has been power systems design and control with a particular emphasis on microgrids and the power systems used in transportation electrification.  Transportation electrification research led me to research the use of hydrogen as a means to generate electricity.  After developing small vehicles and a bus that operated as a hydrogen-battery hybrid, the development of a hybrid package delivery van represented a major step forward in demonstrating the potential of hydrogen.  The battery-hydrogen hybrid van </w:t>
      </w:r>
      <w:r w:rsidR="00487B0B">
        <w:t xml:space="preserve">is </w:t>
      </w:r>
      <w:r>
        <w:t xml:space="preserve">capable of serving nearly the same route that had been served with a diesel delivery van with the same load.  Vehicles powered by batteries alone could not do the same.  We developed the modeling for sizing, built the first prototype which is in service, and several more copies have been manufactured.  Based on this experience, I was appointed to the U.S. Department of Energy’s </w:t>
      </w:r>
      <w:r w:rsidR="009255D4">
        <w:t xml:space="preserve">(“DOE”) </w:t>
      </w:r>
      <w:r>
        <w:t xml:space="preserve">Hydrogen and Fuel Cell Technical Advisory Committee. </w:t>
      </w:r>
    </w:p>
    <w:p w14:paraId="3CF8231E" w14:textId="06EEC56F" w:rsidR="001D30E5" w:rsidRDefault="00411301" w:rsidP="000160A3">
      <w:pPr>
        <w:pStyle w:val="Answer2"/>
      </w:pPr>
      <w:r>
        <w:t xml:space="preserve">I am a </w:t>
      </w:r>
      <w:r w:rsidR="003B61DB">
        <w:t xml:space="preserve">life </w:t>
      </w:r>
      <w:r>
        <w:t xml:space="preserve">fellow of the IEEE which is perhaps the world’s largest technical professional organization, and I have served on the Board of Directors of the IEEE and of the Center for Transportation and the Environment, with headquarters in Atlanta, </w:t>
      </w:r>
      <w:r>
        <w:lastRenderedPageBreak/>
        <w:t xml:space="preserve">Georgia. </w:t>
      </w:r>
      <w:r w:rsidR="001E24B3">
        <w:t xml:space="preserve"> </w:t>
      </w:r>
      <w:r>
        <w:t>I have published over 200 papers with the preponderance of those peer reviewed and have been awarded two patents.  A full resume is attached as Exhibit REH-1.</w:t>
      </w:r>
    </w:p>
    <w:p w14:paraId="16681B6E" w14:textId="39D9C1C0" w:rsidR="001D30E5" w:rsidRDefault="001D30E5" w:rsidP="000160A3">
      <w:pPr>
        <w:pStyle w:val="Answer"/>
      </w:pPr>
    </w:p>
    <w:p w14:paraId="32F10329" w14:textId="24A306FD" w:rsidR="001D30E5" w:rsidRDefault="00411301" w:rsidP="009F15DE">
      <w:pPr>
        <w:pStyle w:val="Q"/>
      </w:pPr>
      <w:r>
        <w:t>HAVE YOU PREVIOUSLY PROVIDED TESTIMONY?</w:t>
      </w:r>
    </w:p>
    <w:p w14:paraId="6312F836" w14:textId="6F44FC40" w:rsidR="001D30E5" w:rsidRDefault="000160A3" w:rsidP="000160A3">
      <w:pPr>
        <w:pStyle w:val="Answer"/>
        <w:rPr>
          <w:rStyle w:val="AChar"/>
        </w:rPr>
      </w:pPr>
      <w:r>
        <w:t>A.</w:t>
      </w:r>
      <w:r>
        <w:tab/>
      </w:r>
      <w:r w:rsidR="00411301">
        <w:t xml:space="preserve">Yes.  I provided testimony in the U.S. District Court for the District of Columbia in </w:t>
      </w:r>
      <w:r w:rsidR="00411301">
        <w:rPr>
          <w:rStyle w:val="AChar"/>
          <w:i/>
          <w:iCs/>
        </w:rPr>
        <w:t>Newman v. Quigg</w:t>
      </w:r>
      <w:r w:rsidR="00411301">
        <w:rPr>
          <w:rStyle w:val="AChar"/>
        </w:rPr>
        <w:t>, a suit in which a plaintiff challenged the denial of a patent claim by the Commissioner of Patents and Trademarks.</w:t>
      </w:r>
      <w:r w:rsidR="00411301">
        <w:rPr>
          <w:rStyle w:val="FootnoteReference"/>
        </w:rPr>
        <w:footnoteReference w:id="2"/>
      </w:r>
      <w:r w:rsidR="00411301">
        <w:rPr>
          <w:rStyle w:val="AChar"/>
        </w:rPr>
        <w:t xml:space="preserve">  I served as expert witness for the U.S. government on the nature of the technology in question and the test results on the embodiment of the technology.  </w:t>
      </w:r>
    </w:p>
    <w:p w14:paraId="69C911EC" w14:textId="1A818639" w:rsidR="001D30E5" w:rsidRDefault="00411301" w:rsidP="000160A3">
      <w:pPr>
        <w:pStyle w:val="Answer2"/>
        <w:rPr>
          <w:rStyle w:val="AChar"/>
        </w:rPr>
      </w:pPr>
      <w:r>
        <w:rPr>
          <w:rStyle w:val="AChar"/>
        </w:rPr>
        <w:t xml:space="preserve">In addition, for several years at </w:t>
      </w:r>
      <w:r w:rsidR="00487B0B">
        <w:rPr>
          <w:rStyle w:val="AChar"/>
        </w:rPr>
        <w:t>NIST</w:t>
      </w:r>
      <w:r>
        <w:rPr>
          <w:rStyle w:val="AChar"/>
        </w:rPr>
        <w:t xml:space="preserve">, I was the deciding official as to whether employees with Ph.D. degrees who were being involuntarily separated could or could not perform the job of another Ph.D. in the organization.  If I determined the justifications were valid, I would serve as a witness before an administrative law judge in any appeals.  There were more than ten such cases.  </w:t>
      </w:r>
    </w:p>
    <w:p w14:paraId="61C1708F" w14:textId="61C12E09" w:rsidR="001D30E5" w:rsidRDefault="00411301" w:rsidP="000160A3">
      <w:pPr>
        <w:pStyle w:val="Answer2"/>
        <w:rPr>
          <w:rStyle w:val="AChar"/>
        </w:rPr>
      </w:pPr>
      <w:r>
        <w:rPr>
          <w:rStyle w:val="AChar"/>
        </w:rPr>
        <w:t xml:space="preserve">Finally, I testified on </w:t>
      </w:r>
      <w:r w:rsidR="00D6584F">
        <w:rPr>
          <w:rStyle w:val="AChar"/>
        </w:rPr>
        <w:t>approximately</w:t>
      </w:r>
      <w:r>
        <w:rPr>
          <w:rStyle w:val="AChar"/>
        </w:rPr>
        <w:t xml:space="preserve"> </w:t>
      </w:r>
      <w:r w:rsidR="002F18ED">
        <w:rPr>
          <w:rStyle w:val="AChar"/>
        </w:rPr>
        <w:t>ten</w:t>
      </w:r>
      <w:r>
        <w:rPr>
          <w:rStyle w:val="AChar"/>
        </w:rPr>
        <w:t xml:space="preserve"> occasions before committees of the U.S. Senate and the U.S. House of Representatives.  In my role at NIST, which is part of the U.S. Department of Commerce, my testimony typically focused on aspects of effective technology investments to stimulate economic growth.</w:t>
      </w:r>
    </w:p>
    <w:p w14:paraId="55081862" w14:textId="4309D65B" w:rsidR="001D30E5" w:rsidRDefault="001D30E5" w:rsidP="00F40891">
      <w:pPr>
        <w:pStyle w:val="Answer"/>
        <w:suppressLineNumbers/>
        <w:rPr>
          <w:rStyle w:val="AChar"/>
        </w:rPr>
      </w:pPr>
    </w:p>
    <w:p w14:paraId="6B714862" w14:textId="46781B6A" w:rsidR="00B64775" w:rsidRDefault="00B64775" w:rsidP="00B64775">
      <w:pPr>
        <w:pStyle w:val="Q"/>
        <w:rPr>
          <w:rStyle w:val="AChar"/>
        </w:rPr>
      </w:pPr>
      <w:r>
        <w:rPr>
          <w:rStyle w:val="AChar"/>
        </w:rPr>
        <w:lastRenderedPageBreak/>
        <w:t xml:space="preserve">What is the purpose of your testimony? </w:t>
      </w:r>
    </w:p>
    <w:p w14:paraId="2E622AEA" w14:textId="6A29005A" w:rsidR="001D30E5" w:rsidRDefault="00411301" w:rsidP="000160A3">
      <w:pPr>
        <w:pStyle w:val="Answer"/>
        <w:rPr>
          <w:rStyle w:val="Heading2Char"/>
          <w:caps/>
          <w:u w:val="none"/>
        </w:rPr>
      </w:pPr>
      <w:r w:rsidRPr="000160A3">
        <w:t>A.</w:t>
      </w:r>
      <w:r w:rsidRPr="000160A3">
        <w:tab/>
      </w:r>
      <w:r w:rsidRPr="00184B34">
        <w:rPr>
          <w:rStyle w:val="Heading2Char"/>
          <w:b w:val="0"/>
          <w:bCs w:val="0"/>
          <w:u w:val="none"/>
        </w:rPr>
        <w:t>I am testifying on behalf of the Company in support of its application to amend its certificate of convenience and necessity to construct, own, and operate the Orange County Advanced Power Station (“OCAPS” or the “Project”).  Specifically, my testimony</w:t>
      </w:r>
      <w:r w:rsidR="0012234C" w:rsidRPr="0012234C">
        <w:rPr>
          <w:rStyle w:val="Heading2Char"/>
          <w:b w:val="0"/>
          <w:bCs w:val="0"/>
          <w:u w:val="none"/>
        </w:rPr>
        <w:t xml:space="preserve"> </w:t>
      </w:r>
      <w:r w:rsidR="0012234C">
        <w:rPr>
          <w:rStyle w:val="Heading2Char"/>
          <w:b w:val="0"/>
          <w:bCs w:val="0"/>
          <w:u w:val="none"/>
        </w:rPr>
        <w:t>provides a technical perspective on the use of hydrogen as a fuel source, its production</w:t>
      </w:r>
      <w:r w:rsidR="0031796D">
        <w:rPr>
          <w:rStyle w:val="Heading2Char"/>
          <w:b w:val="0"/>
          <w:bCs w:val="0"/>
          <w:u w:val="none"/>
        </w:rPr>
        <w:t>,</w:t>
      </w:r>
      <w:r w:rsidR="0012234C">
        <w:rPr>
          <w:rStyle w:val="Heading2Char"/>
          <w:b w:val="0"/>
          <w:bCs w:val="0"/>
          <w:u w:val="none"/>
        </w:rPr>
        <w:t xml:space="preserve"> and the existing industry infrastructure in the United States and along the Gulf Coast region</w:t>
      </w:r>
      <w:r w:rsidR="0012234C" w:rsidRPr="00184B34">
        <w:rPr>
          <w:rStyle w:val="Heading2Char"/>
          <w:b w:val="0"/>
          <w:bCs w:val="0"/>
          <w:u w:val="none"/>
        </w:rPr>
        <w:t>.</w:t>
      </w:r>
      <w:r w:rsidR="0012234C">
        <w:rPr>
          <w:rStyle w:val="Heading2Char"/>
          <w:b w:val="0"/>
          <w:bCs w:val="0"/>
          <w:u w:val="none"/>
        </w:rPr>
        <w:t xml:space="preserve">  I also discuss current trends regarding utilization of hydrogen in the electric utility industry.  I conclude that the OCAPS plant will be well-positioned to make use of and enhance the significant existing hydrogen infrastructure that exists in Southeast Texas</w:t>
      </w:r>
      <w:r w:rsidRPr="00184B34">
        <w:rPr>
          <w:rStyle w:val="Heading2Char"/>
          <w:b w:val="0"/>
          <w:bCs w:val="0"/>
          <w:u w:val="none"/>
        </w:rPr>
        <w:t>.</w:t>
      </w:r>
    </w:p>
    <w:p w14:paraId="07152AC1" w14:textId="77777777" w:rsidR="001D30E5" w:rsidRDefault="001D30E5" w:rsidP="000160A3">
      <w:pPr>
        <w:pStyle w:val="Answer"/>
      </w:pPr>
    </w:p>
    <w:p w14:paraId="5215D620" w14:textId="77777777" w:rsidR="001D30E5" w:rsidRDefault="00411301">
      <w:pPr>
        <w:pStyle w:val="Q"/>
        <w:numPr>
          <w:ilvl w:val="0"/>
          <w:numId w:val="46"/>
        </w:numPr>
      </w:pPr>
      <w:r>
        <w:t>DO YOU SPONSOR ANY EXHIBITS?</w:t>
      </w:r>
    </w:p>
    <w:p w14:paraId="2AC46351" w14:textId="77777777" w:rsidR="001D30E5" w:rsidRDefault="00411301" w:rsidP="000160A3">
      <w:pPr>
        <w:pStyle w:val="Answer"/>
      </w:pPr>
      <w:r>
        <w:t>A.</w:t>
      </w:r>
      <w:r>
        <w:tab/>
        <w:t xml:space="preserve">Yes, I sponsor the exhibit listed in the Table of Contents to my testimony.  </w:t>
      </w:r>
    </w:p>
    <w:p w14:paraId="4B22DE29" w14:textId="77777777" w:rsidR="001D30E5" w:rsidRDefault="001D30E5" w:rsidP="000160A3">
      <w:pPr>
        <w:pStyle w:val="Answer"/>
      </w:pPr>
    </w:p>
    <w:p w14:paraId="13B1AC87" w14:textId="2D2F6C83" w:rsidR="001D30E5" w:rsidRDefault="00411301">
      <w:pPr>
        <w:pStyle w:val="Heading1"/>
        <w:tabs>
          <w:tab w:val="clear" w:pos="4140"/>
          <w:tab w:val="num" w:pos="720"/>
        </w:tabs>
        <w:spacing w:after="0" w:line="480" w:lineRule="auto"/>
        <w:ind w:left="720"/>
        <w:rPr>
          <w:rFonts w:ascii="Times New Roman" w:hAnsi="Times New Roman"/>
        </w:rPr>
      </w:pPr>
      <w:bookmarkStart w:id="4" w:name="_Toc80251070"/>
      <w:bookmarkStart w:id="5" w:name="_Toc80251285"/>
      <w:r>
        <w:rPr>
          <w:rFonts w:ascii="Times New Roman" w:hAnsi="Times New Roman"/>
        </w:rPr>
        <w:t xml:space="preserve">Hydrogen as a </w:t>
      </w:r>
      <w:r w:rsidR="00B64775">
        <w:rPr>
          <w:rFonts w:ascii="Times New Roman" w:hAnsi="Times New Roman"/>
        </w:rPr>
        <w:t>F</w:t>
      </w:r>
      <w:r>
        <w:rPr>
          <w:rFonts w:ascii="Times New Roman" w:hAnsi="Times New Roman"/>
        </w:rPr>
        <w:t xml:space="preserve">uel </w:t>
      </w:r>
      <w:r w:rsidR="00B64775">
        <w:rPr>
          <w:rFonts w:ascii="Times New Roman" w:hAnsi="Times New Roman"/>
        </w:rPr>
        <w:t>S</w:t>
      </w:r>
      <w:r>
        <w:rPr>
          <w:rFonts w:ascii="Times New Roman" w:hAnsi="Times New Roman"/>
        </w:rPr>
        <w:t>ource</w:t>
      </w:r>
      <w:bookmarkEnd w:id="4"/>
      <w:bookmarkEnd w:id="5"/>
      <w:r>
        <w:rPr>
          <w:rFonts w:ascii="Times New Roman" w:hAnsi="Times New Roman"/>
        </w:rPr>
        <w:t xml:space="preserve"> </w:t>
      </w:r>
    </w:p>
    <w:p w14:paraId="22348485" w14:textId="77777777" w:rsidR="001D30E5" w:rsidRDefault="00411301" w:rsidP="009F15DE">
      <w:pPr>
        <w:pStyle w:val="Q"/>
      </w:pPr>
      <w:r>
        <w:t>what is your familiarity with the concept of using hydrogen gas as a fuel source?</w:t>
      </w:r>
    </w:p>
    <w:p w14:paraId="11D6AB32" w14:textId="0F70A3BD" w:rsidR="0008435A" w:rsidRPr="00220A57" w:rsidRDefault="000160A3" w:rsidP="000160A3">
      <w:pPr>
        <w:pStyle w:val="Answer"/>
      </w:pPr>
      <w:r>
        <w:t>A.</w:t>
      </w:r>
      <w:r>
        <w:tab/>
      </w:r>
      <w:r w:rsidR="00411301">
        <w:t xml:space="preserve">Hydrogen is a well-established fuel source.  The concept of burning hydrogen and oxygen to heat a cylinder of calcium oxide to light a stage was developed in the 1820s and gave rise to the phrase “in the limelight.”  Since then, hydrogen has been </w:t>
      </w:r>
      <w:r w:rsidR="003173E8">
        <w:t>used</w:t>
      </w:r>
      <w:r w:rsidR="00487B0B">
        <w:t xml:space="preserve"> as a fuel source</w:t>
      </w:r>
      <w:r w:rsidR="00411301">
        <w:t xml:space="preserve"> </w:t>
      </w:r>
      <w:r w:rsidR="003173E8">
        <w:t>to launch rockets</w:t>
      </w:r>
      <w:r w:rsidR="00D6584F">
        <w:rPr>
          <w:rStyle w:val="FootnoteReference"/>
        </w:rPr>
        <w:footnoteReference w:id="3"/>
      </w:r>
      <w:r w:rsidR="003173E8">
        <w:t xml:space="preserve"> </w:t>
      </w:r>
      <w:r w:rsidR="00D6584F">
        <w:t>and</w:t>
      </w:r>
      <w:r w:rsidR="003173E8">
        <w:t xml:space="preserve"> power internal combustion engines </w:t>
      </w:r>
      <w:r w:rsidR="00D6584F">
        <w:t>and</w:t>
      </w:r>
      <w:r w:rsidR="003173E8">
        <w:t xml:space="preserve"> fuel cell </w:t>
      </w:r>
      <w:r w:rsidR="003173E8">
        <w:lastRenderedPageBreak/>
        <w:t xml:space="preserve">vehicles.  </w:t>
      </w:r>
      <w:r w:rsidR="0008435A">
        <w:t>The U.S. has focused its hydrogen use to date on industrial uses including</w:t>
      </w:r>
      <w:r w:rsidR="00220A57">
        <w:t>;</w:t>
      </w:r>
      <w:r w:rsidR="00501EF9">
        <w:rPr>
          <w:rStyle w:val="FootnoteReference"/>
        </w:rPr>
        <w:footnoteReference w:id="4"/>
      </w:r>
      <w:r w:rsidR="00354617">
        <w:t xml:space="preserve"> </w:t>
      </w:r>
      <w:r w:rsidR="00354617" w:rsidRPr="00220A57">
        <w:rPr>
          <w:shd w:val="clear" w:color="auto" w:fill="FFFFFF"/>
        </w:rPr>
        <w:t xml:space="preserve">refining petroleum, treating metals, producing fertilizer, and processing foods. </w:t>
      </w:r>
      <w:r w:rsidR="007E6CE5">
        <w:rPr>
          <w:shd w:val="clear" w:color="auto" w:fill="FFFFFF"/>
        </w:rPr>
        <w:t xml:space="preserve"> </w:t>
      </w:r>
      <w:r w:rsidR="00354617" w:rsidRPr="00220A57">
        <w:rPr>
          <w:shd w:val="clear" w:color="auto" w:fill="FFFFFF"/>
        </w:rPr>
        <w:t>U.S. petroleum refineries use hydrogen to lower the sulfur content of fuels.</w:t>
      </w:r>
    </w:p>
    <w:p w14:paraId="6F4CE85B" w14:textId="5B5C9B77" w:rsidR="001D30E5" w:rsidRDefault="00411301" w:rsidP="000160A3">
      <w:pPr>
        <w:pStyle w:val="Answer2"/>
      </w:pPr>
      <w:r>
        <w:t>I recently coauthored a paper that assessed the potential for hydrogen penetration in the future energy system.</w:t>
      </w:r>
      <w:r>
        <w:rPr>
          <w:rStyle w:val="FootnoteReference"/>
        </w:rPr>
        <w:footnoteReference w:id="5"/>
      </w:r>
      <w:r>
        <w:t xml:space="preserve"> </w:t>
      </w:r>
      <w:r w:rsidR="00F60E25">
        <w:t xml:space="preserve"> </w:t>
      </w:r>
      <w:r>
        <w:t xml:space="preserve">Among other things, this assessment compared the cost of reducing carbon in the United Kingdom by burning hydrogen compared to using a heat pump.  In addition, we conducted research that focused on using hydrogen blends in internal combustion engines used in cars and trucks to reduce emissions from those engines.  </w:t>
      </w:r>
    </w:p>
    <w:p w14:paraId="747AEE8E" w14:textId="16DEA137" w:rsidR="001D30E5" w:rsidRDefault="001D30E5" w:rsidP="00B1020F">
      <w:pPr>
        <w:pStyle w:val="Answer"/>
      </w:pPr>
    </w:p>
    <w:p w14:paraId="5421CE9D" w14:textId="4E59DF47" w:rsidR="001D30E5" w:rsidRDefault="00411301">
      <w:pPr>
        <w:pStyle w:val="Q"/>
      </w:pPr>
      <w:r>
        <w:t xml:space="preserve">what are some of the benefits of using hydrogen as a fuel source?  </w:t>
      </w:r>
    </w:p>
    <w:p w14:paraId="30003E98" w14:textId="75DB671C" w:rsidR="001D30E5" w:rsidRDefault="000160A3" w:rsidP="000160A3">
      <w:pPr>
        <w:pStyle w:val="Answer"/>
      </w:pPr>
      <w:r>
        <w:t>A.</w:t>
      </w:r>
      <w:r>
        <w:tab/>
      </w:r>
      <w:r w:rsidR="00411301">
        <w:t xml:space="preserve">A key benefit driving significant global interest is that hydrogen fuel does not emit carbon, which can yield cleaner air in the vicinity of the combustion source and a smaller contribution to climate change.  </w:t>
      </w:r>
    </w:p>
    <w:p w14:paraId="146E13BB" w14:textId="54FA1817" w:rsidR="001D30E5" w:rsidRDefault="00411301" w:rsidP="000160A3">
      <w:pPr>
        <w:pStyle w:val="Answer2"/>
      </w:pPr>
      <w:r>
        <w:t xml:space="preserve">However, hydrogen, the universe’s simplest atom (composed of one electron and one proton) is highly reactive.  Consequently, </w:t>
      </w:r>
      <w:r w:rsidR="00F863C8">
        <w:t>while</w:t>
      </w:r>
      <w:r>
        <w:t xml:space="preserve"> it is the most common </w:t>
      </w:r>
      <w:r w:rsidR="00F863C8">
        <w:t>element</w:t>
      </w:r>
      <w:r>
        <w:t xml:space="preserve"> in the universe, it is typically found on earth as part of a more complex molecule.  The need to utilize chemical and/or physical processes to separate and produce hydrogen </w:t>
      </w:r>
      <w:r>
        <w:lastRenderedPageBreak/>
        <w:t>currently increases its cost to a level that is not</w:t>
      </w:r>
      <w:r w:rsidR="00F863C8">
        <w:t xml:space="preserve"> today</w:t>
      </w:r>
      <w:r>
        <w:t xml:space="preserve"> fully competitive on a national basis with other fuels</w:t>
      </w:r>
      <w:r w:rsidR="007702CD">
        <w:t>,</w:t>
      </w:r>
      <w:r>
        <w:t xml:space="preserve"> such as natural gas</w:t>
      </w:r>
      <w:r w:rsidR="007702CD">
        <w:t>,</w:t>
      </w:r>
      <w:r>
        <w:t xml:space="preserve"> on a purely $/MMBtu basis.  </w:t>
      </w:r>
    </w:p>
    <w:p w14:paraId="7F6192DB" w14:textId="2D11AF59" w:rsidR="001D30E5" w:rsidRDefault="00411301" w:rsidP="009F15DE">
      <w:pPr>
        <w:pStyle w:val="Answer2"/>
      </w:pPr>
      <w:r>
        <w:t>Recognizing the potential of hydrogen as an abundant fuel that can provide clean dispatchable energy, government and industry are actively addressing the challenge of reducing the cost of hydrogen as a fuel source.  This year, the D</w:t>
      </w:r>
      <w:r w:rsidR="00CB063E">
        <w:t>OE</w:t>
      </w:r>
      <w:r>
        <w:t xml:space="preserve"> initiated a program</w:t>
      </w:r>
      <w:r>
        <w:rPr>
          <w:rStyle w:val="FootnoteReference"/>
        </w:rPr>
        <w:footnoteReference w:id="6"/>
      </w:r>
      <w:r>
        <w:t xml:space="preserve"> called “Energy Earthshots,” focused on bringing down the cost of technologies that will enable the U.S. to achieve a net-zero emissions energy system by 2050.  One component of this program, referred to as the “Hydrogen Shot,” aims to cut the cost of clean hydrogen by 80% in a decade by scaling up methods of producing hydrogen cleanly using renewable energy, nuclear power, or natural gas or biomass with carbon capture technology.  The roadmap developed by the domestic industry</w:t>
      </w:r>
      <w:r>
        <w:rPr>
          <w:rStyle w:val="FootnoteReference"/>
        </w:rPr>
        <w:footnoteReference w:id="7"/>
      </w:r>
      <w:r>
        <w:t xml:space="preserve"> specifically addresses what markets become available at specific price points to help build demand that can accelerate the price reduction.  The targeted price reduction puts hydrogen in an analogous position to that of solar power a decade or two ago.</w:t>
      </w:r>
    </w:p>
    <w:p w14:paraId="5D4BE294" w14:textId="7C23A2BC" w:rsidR="001D30E5" w:rsidRDefault="00F863C8" w:rsidP="009F15DE">
      <w:pPr>
        <w:pStyle w:val="Answer2"/>
      </w:pPr>
      <w:r>
        <w:t>However, today, w</w:t>
      </w:r>
      <w:r w:rsidR="00411301">
        <w:t>here hydrogen is more readily available on a regional basis, and as gas turbine manufacturers provide dual fuel options (</w:t>
      </w:r>
      <w:r w:rsidR="00411301" w:rsidRPr="00BC481D">
        <w:rPr>
          <w:iCs/>
        </w:rPr>
        <w:t>i.e.</w:t>
      </w:r>
      <w:r w:rsidR="00411301" w:rsidRPr="00BC481D">
        <w:t>,</w:t>
      </w:r>
      <w:r w:rsidR="00411301">
        <w:t xml:space="preserve"> natural gas and hydrogen), plant operators have the opportunity for enhanced resilience if one of the fuels is curtailed, flexibility to provide the lowest cost fuel mixture, and/or the available and affordable mixture that produces the highest air quality.  </w:t>
      </w:r>
      <w:r w:rsidR="0012234C">
        <w:t xml:space="preserve">The recent cyberattack on the Colonial Pipeline provides an analogy on enhanced resilience.  In that situation, </w:t>
      </w:r>
      <w:r w:rsidR="0012234C">
        <w:lastRenderedPageBreak/>
        <w:t>there was enough gasoline stored in the pipeline to provide a one-day supply to cushion the effects of the attack.  Stored hydrogen could serve a similar purpose in the event natural gas supply is not readily available.</w:t>
      </w:r>
    </w:p>
    <w:p w14:paraId="43402DE5" w14:textId="77777777" w:rsidR="001D30E5" w:rsidRDefault="001D30E5" w:rsidP="009F15DE">
      <w:pPr>
        <w:pStyle w:val="Answer"/>
      </w:pPr>
    </w:p>
    <w:p w14:paraId="102D73C6" w14:textId="1E1CE241" w:rsidR="001D30E5" w:rsidRDefault="00411301">
      <w:pPr>
        <w:pStyle w:val="Q"/>
      </w:pPr>
      <w:r>
        <w:t>what are the different APPROACHES TO PRODUCING AND supplyING hydrogen fuel?</w:t>
      </w:r>
    </w:p>
    <w:p w14:paraId="3ABF34A4" w14:textId="1A80C4D2" w:rsidR="001D30E5" w:rsidRDefault="009F15DE" w:rsidP="009F15DE">
      <w:pPr>
        <w:pStyle w:val="Answer"/>
      </w:pPr>
      <w:r>
        <w:t>A.</w:t>
      </w:r>
      <w:r>
        <w:tab/>
      </w:r>
      <w:r w:rsidR="00411301">
        <w:t xml:space="preserve">The production options considered competitive today are extraction of hydrogen from fossil fuels and the production of hydrogen from water. </w:t>
      </w:r>
      <w:r w:rsidR="001E24B3">
        <w:t xml:space="preserve"> </w:t>
      </w:r>
      <w:r w:rsidR="00411301">
        <w:t xml:space="preserve">Today’s production is predominantly based on extraction from fossil fuels.  Texas produces about </w:t>
      </w:r>
      <w:r w:rsidR="00817A46">
        <w:t>3</w:t>
      </w:r>
      <w:r w:rsidR="00411301">
        <w:t>0%</w:t>
      </w:r>
      <w:r w:rsidR="00817A46">
        <w:rPr>
          <w:rStyle w:val="FootnoteReference"/>
        </w:rPr>
        <w:footnoteReference w:id="8"/>
      </w:r>
      <w:r w:rsidR="00411301">
        <w:t xml:space="preserve"> of all U.S. hydrogen</w:t>
      </w:r>
      <w:r w:rsidR="00817A46">
        <w:rPr>
          <w:rStyle w:val="FootnoteReference"/>
        </w:rPr>
        <w:footnoteReference w:id="9"/>
      </w:r>
      <w:r w:rsidR="00411301">
        <w:t xml:space="preserve"> and about 2% of the world’s hydrogen</w:t>
      </w:r>
      <w:r w:rsidR="00CB063E">
        <w:t>.</w:t>
      </w:r>
      <w:r w:rsidR="00817A46">
        <w:rPr>
          <w:rStyle w:val="FootnoteReference"/>
        </w:rPr>
        <w:footnoteReference w:id="10"/>
      </w:r>
      <w:r w:rsidR="00411301">
        <w:t xml:space="preserve">  The dominant Texas approach is the use of a process called steam methane reformation that extracts hydrogen from natural gas.</w:t>
      </w:r>
    </w:p>
    <w:p w14:paraId="54535CE1" w14:textId="59267988" w:rsidR="001D30E5" w:rsidRDefault="00411301" w:rsidP="009F15DE">
      <w:pPr>
        <w:pStyle w:val="Answer2"/>
      </w:pPr>
      <w:r>
        <w:t>The hydrogen must also be delivered to the user.  This is done either through an extensive commercial trucking network or via pipeline.  The preponderance of the 1,600 miles of existing hydrogen pipeline</w:t>
      </w:r>
      <w:r>
        <w:rPr>
          <w:rStyle w:val="FootnoteReference"/>
        </w:rPr>
        <w:footnoteReference w:id="11"/>
      </w:r>
      <w:r>
        <w:t xml:space="preserve"> in the U.S. is </w:t>
      </w:r>
      <w:r w:rsidR="00152212">
        <w:t xml:space="preserve">in </w:t>
      </w:r>
      <w:r w:rsidR="00F863C8">
        <w:t xml:space="preserve">the area served by the Entergy utilities </w:t>
      </w:r>
      <w:r>
        <w:t xml:space="preserve">along the Gulf Coast.  The significant length of existing hydrogen pipeline demonstrates that the construction and operation of hydrogen pipelines in </w:t>
      </w:r>
      <w:r>
        <w:lastRenderedPageBreak/>
        <w:t>Texas is a mature industry supported by an experienced workforce.  It is not simply a science experiment</w:t>
      </w:r>
      <w:r w:rsidR="002E5327">
        <w:t>.</w:t>
      </w:r>
    </w:p>
    <w:p w14:paraId="1D1F13C2" w14:textId="374588C1" w:rsidR="001D30E5" w:rsidRDefault="00411301" w:rsidP="009F15DE">
      <w:pPr>
        <w:pStyle w:val="Answer2"/>
      </w:pPr>
      <w:r>
        <w:t xml:space="preserve">Today, the majority of storage </w:t>
      </w:r>
      <w:r w:rsidR="00466E5D">
        <w:t>for hydrogen</w:t>
      </w:r>
      <w:r>
        <w:t xml:space="preserve"> is via specially built tanks and so-called “horizontal” storage in the pipeline.  However, Texas has </w:t>
      </w:r>
      <w:r w:rsidR="009C438D">
        <w:t>favorable</w:t>
      </w:r>
      <w:r w:rsidR="00F863C8">
        <w:t xml:space="preserve"> </w:t>
      </w:r>
      <w:r>
        <w:t>geology for underground storage</w:t>
      </w:r>
      <w:r w:rsidR="009C438D">
        <w:t>,</w:t>
      </w:r>
      <w:r>
        <w:t xml:space="preserve"> </w:t>
      </w:r>
      <w:r w:rsidR="009C438D">
        <w:t>which can</w:t>
      </w:r>
      <w:r w:rsidR="00F863C8">
        <w:t xml:space="preserve"> facilitate</w:t>
      </w:r>
      <w:r>
        <w:t xml:space="preserve"> much larger scale storage.  Four underground hydrogen storage facilities are in operation today</w:t>
      </w:r>
      <w:r w:rsidR="0012234C">
        <w:t>.</w:t>
      </w:r>
      <w:r>
        <w:rPr>
          <w:rStyle w:val="FootnoteReference"/>
        </w:rPr>
        <w:footnoteReference w:id="12"/>
      </w:r>
      <w:r>
        <w:t xml:space="preserve"> </w:t>
      </w:r>
      <w:r w:rsidR="0012234C">
        <w:t xml:space="preserve"> Three of those facilities are located in the United States – all in Texas</w:t>
      </w:r>
      <w:r w:rsidR="00BB0D6B">
        <w:t xml:space="preserve"> with two in the service territory of ETI</w:t>
      </w:r>
      <w:r w:rsidR="0012234C">
        <w:t xml:space="preserve">, </w:t>
      </w:r>
      <w:r>
        <w:t xml:space="preserve">but further research and development are needed to reach the region’s full potential.  Fortunately, much of this favorable geology for large-scale hydrogen storage is along the Gulf Coast where the current hydrogen infrastructure is strongest. </w:t>
      </w:r>
    </w:p>
    <w:p w14:paraId="4C8F461D" w14:textId="1B85F4DD" w:rsidR="000750C1" w:rsidRDefault="00411301" w:rsidP="000750C1">
      <w:pPr>
        <w:pStyle w:val="Answer2"/>
      </w:pPr>
      <w:r>
        <w:t xml:space="preserve">Electrolysis of water is an emerging approach to hydrogen production </w:t>
      </w:r>
      <w:r w:rsidR="009C438D">
        <w:t>that can</w:t>
      </w:r>
      <w:r>
        <w:t xml:space="preserve"> be combined with wind and solar power.  Research has shown that the water needed to produce hydrogen via this process is equivalent to the water needed to produce gasoline.</w:t>
      </w:r>
      <w:r>
        <w:rPr>
          <w:rStyle w:val="FootnoteReference"/>
        </w:rPr>
        <w:footnoteReference w:id="13"/>
      </w:r>
      <w:r>
        <w:t xml:space="preserve">  So, </w:t>
      </w:r>
      <w:r w:rsidR="00997C9F">
        <w:t xml:space="preserve">to the extent </w:t>
      </w:r>
      <w:r>
        <w:t xml:space="preserve">hydrogen reduces the demand for gasoline, water use should not be a major impediment.  </w:t>
      </w:r>
      <w:r w:rsidR="00997C9F">
        <w:t xml:space="preserve">Furthermore the use of hydrogen in transportation and powering utility generators produces water as a byproduct.  </w:t>
      </w:r>
    </w:p>
    <w:p w14:paraId="2B3659B7" w14:textId="13022A62" w:rsidR="001D30E5" w:rsidRDefault="000750C1" w:rsidP="000750C1">
      <w:pPr>
        <w:pStyle w:val="Answer2"/>
      </w:pPr>
      <w:r>
        <w:t>Importantly</w:t>
      </w:r>
      <w:r w:rsidR="00F24056">
        <w:t xml:space="preserve">, the use of wind or solar energy to power electrolysis combined with </w:t>
      </w:r>
      <w:r w:rsidR="00DA433C">
        <w:t xml:space="preserve">hydrogen </w:t>
      </w:r>
      <w:r w:rsidR="00F24056">
        <w:t xml:space="preserve">storage </w:t>
      </w:r>
      <w:r w:rsidR="00551B58">
        <w:t xml:space="preserve">provides </w:t>
      </w:r>
      <w:r w:rsidR="00C04C78">
        <w:t xml:space="preserve">a </w:t>
      </w:r>
      <w:r w:rsidR="00756B5B">
        <w:t xml:space="preserve">large scale </w:t>
      </w:r>
      <w:r w:rsidR="00C04C78">
        <w:t xml:space="preserve">means to address the intermittent nature of renewable resources and convert them into </w:t>
      </w:r>
      <w:r w:rsidR="00817A46">
        <w:t xml:space="preserve">conventionally </w:t>
      </w:r>
      <w:r w:rsidR="00C04C78">
        <w:t>dispatchable clean energy</w:t>
      </w:r>
      <w:r w:rsidR="002A243C">
        <w:t xml:space="preserve"> </w:t>
      </w:r>
      <w:r>
        <w:t xml:space="preserve">resources </w:t>
      </w:r>
      <w:r w:rsidR="002A243C">
        <w:t xml:space="preserve">that </w:t>
      </w:r>
      <w:r>
        <w:t>are</w:t>
      </w:r>
      <w:r w:rsidR="002A243C">
        <w:t xml:space="preserve"> available when needed to serve load and maintain system reliability.</w:t>
      </w:r>
      <w:r w:rsidR="00A4653E">
        <w:t xml:space="preserve">  </w:t>
      </w:r>
      <w:r w:rsidR="00C43318">
        <w:lastRenderedPageBreak/>
        <w:t xml:space="preserve">This can be accomplished by </w:t>
      </w:r>
      <w:r w:rsidR="00EA3BB1">
        <w:t xml:space="preserve">using </w:t>
      </w:r>
      <w:r w:rsidR="00C43318" w:rsidRPr="00C43318">
        <w:t xml:space="preserve">wind and solar power to produce </w:t>
      </w:r>
      <w:r w:rsidR="00EA3BB1">
        <w:t>hydrogen through electrolysis</w:t>
      </w:r>
      <w:r w:rsidR="004C041A">
        <w:t xml:space="preserve">, </w:t>
      </w:r>
      <w:r w:rsidR="00C43318" w:rsidRPr="00C43318">
        <w:t>stor</w:t>
      </w:r>
      <w:r w:rsidR="004C041A">
        <w:t>ing that</w:t>
      </w:r>
      <w:r w:rsidR="00C43318" w:rsidRPr="00C43318">
        <w:t xml:space="preserve"> hydrogen during periods of lower electric demand</w:t>
      </w:r>
      <w:r w:rsidR="004C041A">
        <w:t>, and then combusting the stored hydrogen</w:t>
      </w:r>
      <w:r w:rsidR="00C43318" w:rsidRPr="00C43318">
        <w:t xml:space="preserve"> </w:t>
      </w:r>
      <w:r w:rsidR="00983968">
        <w:t xml:space="preserve">to generate electricity </w:t>
      </w:r>
      <w:r w:rsidR="00C43318" w:rsidRPr="00C43318">
        <w:t xml:space="preserve">during periods of high </w:t>
      </w:r>
      <w:r w:rsidR="0033440B">
        <w:t xml:space="preserve">electric </w:t>
      </w:r>
      <w:r w:rsidR="00C43318" w:rsidRPr="00C43318">
        <w:t>demand</w:t>
      </w:r>
      <w:r w:rsidR="004C041A">
        <w:t xml:space="preserve">.  </w:t>
      </w:r>
      <w:r w:rsidR="00F24056">
        <w:t xml:space="preserve">This opportunity for “seasonal storage” </w:t>
      </w:r>
      <w:r w:rsidR="00352D2F">
        <w:t xml:space="preserve">not only addresses </w:t>
      </w:r>
      <w:r w:rsidR="00BF3A08">
        <w:t xml:space="preserve">the </w:t>
      </w:r>
      <w:r w:rsidR="00352D2F">
        <w:t>short duration of economic battery storage</w:t>
      </w:r>
      <w:r w:rsidR="00D23D2F">
        <w:t>, but</w:t>
      </w:r>
      <w:r w:rsidR="00F24056">
        <w:t xml:space="preserve"> </w:t>
      </w:r>
      <w:r w:rsidR="00D23D2F">
        <w:t>enables a</w:t>
      </w:r>
      <w:r w:rsidR="00F24056">
        <w:t xml:space="preserve"> more efficient use of intermittent resources</w:t>
      </w:r>
      <w:r w:rsidR="00394AD8">
        <w:t xml:space="preserve"> </w:t>
      </w:r>
      <w:r w:rsidR="00983968">
        <w:t>by</w:t>
      </w:r>
      <w:r w:rsidR="00394AD8">
        <w:t xml:space="preserve"> reduc</w:t>
      </w:r>
      <w:r w:rsidR="00983968">
        <w:t>ing</w:t>
      </w:r>
      <w:r w:rsidR="00394AD8">
        <w:t xml:space="preserve"> the overall amount of such resources that must be deployed to </w:t>
      </w:r>
      <w:r w:rsidR="002B3D30">
        <w:t>ensure adequate energy is available at a given time</w:t>
      </w:r>
      <w:r w:rsidR="00F24056">
        <w:t xml:space="preserve">.  </w:t>
      </w:r>
      <w:r w:rsidR="004C468C">
        <w:t>Rather than</w:t>
      </w:r>
      <w:r w:rsidR="00F24056">
        <w:t xml:space="preserve"> </w:t>
      </w:r>
      <w:r w:rsidR="004C468C">
        <w:t xml:space="preserve">being </w:t>
      </w:r>
      <w:r w:rsidR="00F24056">
        <w:t>curtailed</w:t>
      </w:r>
      <w:r w:rsidR="00BF3A08">
        <w:t xml:space="preserve"> during periods of low electric demand</w:t>
      </w:r>
      <w:r w:rsidR="00F24056">
        <w:t xml:space="preserve">, </w:t>
      </w:r>
      <w:r w:rsidR="004C468C">
        <w:t>renewable resources</w:t>
      </w:r>
      <w:r w:rsidR="00F24056">
        <w:t xml:space="preserve"> can be put to use to create a new, stored energy source.</w:t>
      </w:r>
    </w:p>
    <w:p w14:paraId="5F1C8B82" w14:textId="77777777" w:rsidR="001D30E5" w:rsidRDefault="001D30E5" w:rsidP="00D37EB2">
      <w:pPr>
        <w:pStyle w:val="Answer"/>
      </w:pPr>
    </w:p>
    <w:p w14:paraId="6520E5BF" w14:textId="77777777" w:rsidR="001D30E5" w:rsidRDefault="00411301">
      <w:pPr>
        <w:pStyle w:val="Q"/>
      </w:pPr>
      <w:r>
        <w:t>are any of those supply options considered a renewable resource?</w:t>
      </w:r>
    </w:p>
    <w:p w14:paraId="3A1AC354" w14:textId="28E66004" w:rsidR="001D30E5" w:rsidRDefault="009F15DE" w:rsidP="009F15DE">
      <w:pPr>
        <w:pStyle w:val="Answer"/>
      </w:pPr>
      <w:r>
        <w:t>A.</w:t>
      </w:r>
      <w:r>
        <w:tab/>
      </w:r>
      <w:r w:rsidR="00411301">
        <w:t xml:space="preserve">Hydrogen is frequently classified as to the approximate carbon footprint of its production.  Hydrogen is </w:t>
      </w:r>
      <w:r w:rsidR="003427CB">
        <w:t xml:space="preserve">often </w:t>
      </w:r>
      <w:r w:rsidR="00411301">
        <w:t xml:space="preserve">considered green hydrogen if it is produced using wind or solar power using an electrolyzer.  It is considered gray hydrogen if it is produced from a fossil fuel via any chemical means.  </w:t>
      </w:r>
      <w:r w:rsidR="003427CB">
        <w:t>I</w:t>
      </w:r>
      <w:r w:rsidR="00411301">
        <w:t xml:space="preserve">t is </w:t>
      </w:r>
      <w:r w:rsidR="006D16E5">
        <w:t xml:space="preserve">often </w:t>
      </w:r>
      <w:r w:rsidR="00411301">
        <w:t>considered blue hydrogen if it is gray hydrogen, but the carbon liberated in the production of the gray hydrogen is captured and sequestered.  It should be emphasized that these are not well-established complete definitions.  While the distinctions made here are generally accepted, there is a much smaller degree of agreement whether or not hydrogen can be considered green if it was produced from hydropower or nuclear power because of concern these generation resources may be more environmentally stressing than wind or solar power.  This concern seems to loom larger in Europe than in the U.S.  The D</w:t>
      </w:r>
      <w:r w:rsidR="002E5327">
        <w:t>OE</w:t>
      </w:r>
      <w:r w:rsidR="00411301">
        <w:t xml:space="preserve">, for example, </w:t>
      </w:r>
      <w:r w:rsidR="00411301">
        <w:lastRenderedPageBreak/>
        <w:t>is working with industry to demonstrate cost effective hydrogen production from a nuclear power plant.</w:t>
      </w:r>
    </w:p>
    <w:p w14:paraId="2FC4396B" w14:textId="7BEEC5B5" w:rsidR="001D30E5" w:rsidRDefault="00411301" w:rsidP="009F15DE">
      <w:pPr>
        <w:pStyle w:val="Answer2"/>
      </w:pPr>
      <w:r>
        <w:t xml:space="preserve">Texas is well positioned across the hydrogen spectrum, being the number one state in the production of natural gas and wind power and number </w:t>
      </w:r>
      <w:r w:rsidR="00817A46">
        <w:t xml:space="preserve">two to </w:t>
      </w:r>
      <w:r>
        <w:t>five in solar power</w:t>
      </w:r>
      <w:r w:rsidR="00F40891">
        <w:t>.</w:t>
      </w:r>
      <w:r w:rsidR="00817A46">
        <w:rPr>
          <w:rStyle w:val="FootnoteReference"/>
        </w:rPr>
        <w:footnoteReference w:id="14"/>
      </w:r>
      <w:r>
        <w:t xml:space="preserve">  This position is further enhanced by the South Texas Nuclear Generating Station along the Gulf Coast and underground carbon and hydrogen storage potential.</w:t>
      </w:r>
    </w:p>
    <w:p w14:paraId="15DB97CA" w14:textId="68D20BE1" w:rsidR="001D30E5" w:rsidRDefault="001D30E5" w:rsidP="00D37EB2">
      <w:pPr>
        <w:pStyle w:val="Answer"/>
      </w:pPr>
    </w:p>
    <w:p w14:paraId="245AD2A9" w14:textId="042F9202" w:rsidR="001D30E5" w:rsidRDefault="00411301">
      <w:pPr>
        <w:pStyle w:val="Heading1"/>
        <w:tabs>
          <w:tab w:val="clear" w:pos="4140"/>
          <w:tab w:val="num" w:pos="720"/>
        </w:tabs>
        <w:ind w:left="720"/>
        <w:rPr>
          <w:rFonts w:ascii="Times New Roman" w:hAnsi="Times New Roman"/>
        </w:rPr>
      </w:pPr>
      <w:bookmarkStart w:id="6" w:name="_Toc41570351"/>
      <w:bookmarkStart w:id="7" w:name="_Toc80251071"/>
      <w:bookmarkStart w:id="8" w:name="_Toc80251286"/>
      <w:r>
        <w:rPr>
          <w:rFonts w:ascii="Times New Roman" w:hAnsi="Times New Roman"/>
        </w:rPr>
        <w:t xml:space="preserve">Utilization of Hydrogen in the </w:t>
      </w:r>
      <w:bookmarkEnd w:id="6"/>
      <w:r w:rsidR="00B64775">
        <w:rPr>
          <w:rFonts w:ascii="Times New Roman" w:hAnsi="Times New Roman"/>
        </w:rPr>
        <w:t>E</w:t>
      </w:r>
      <w:r>
        <w:rPr>
          <w:rFonts w:ascii="Times New Roman" w:hAnsi="Times New Roman"/>
        </w:rPr>
        <w:t xml:space="preserve">lectric </w:t>
      </w:r>
      <w:r w:rsidR="00B64775">
        <w:rPr>
          <w:rFonts w:ascii="Times New Roman" w:hAnsi="Times New Roman"/>
        </w:rPr>
        <w:t>U</w:t>
      </w:r>
      <w:r>
        <w:rPr>
          <w:rFonts w:ascii="Times New Roman" w:hAnsi="Times New Roman"/>
        </w:rPr>
        <w:t xml:space="preserve">tility </w:t>
      </w:r>
      <w:r w:rsidR="00B64775">
        <w:rPr>
          <w:rFonts w:ascii="Times New Roman" w:hAnsi="Times New Roman"/>
        </w:rPr>
        <w:t>I</w:t>
      </w:r>
      <w:r>
        <w:rPr>
          <w:rFonts w:ascii="Times New Roman" w:hAnsi="Times New Roman"/>
        </w:rPr>
        <w:t>ndustry</w:t>
      </w:r>
      <w:bookmarkEnd w:id="7"/>
      <w:bookmarkEnd w:id="8"/>
    </w:p>
    <w:p w14:paraId="4B5072AA" w14:textId="14A8303E" w:rsidR="001D30E5" w:rsidRDefault="00411301">
      <w:pPr>
        <w:pStyle w:val="Q"/>
      </w:pPr>
      <w:r>
        <w:t>are you aware of any emerging trends in the electric utility industry regarding use of hydrogen?</w:t>
      </w:r>
    </w:p>
    <w:p w14:paraId="684BB25B" w14:textId="573229B2" w:rsidR="001D30E5" w:rsidRDefault="009F15DE" w:rsidP="009F15DE">
      <w:pPr>
        <w:pStyle w:val="Answer"/>
      </w:pPr>
      <w:r>
        <w:t>A.</w:t>
      </w:r>
      <w:r>
        <w:tab/>
      </w:r>
      <w:r w:rsidR="00411301">
        <w:t>The infrastructure for the use of hydrogen in utilities continues to expand.  A</w:t>
      </w:r>
      <w:r w:rsidR="007C5B90">
        <w:t xml:space="preserve">s reflected in a report entitled </w:t>
      </w:r>
      <w:r w:rsidR="00813867">
        <w:t>“</w:t>
      </w:r>
      <w:r w:rsidR="007C5B90">
        <w:t>An EU Energy Security and Solidarity Action Plan,</w:t>
      </w:r>
      <w:r w:rsidR="00813867">
        <w:t>”</w:t>
      </w:r>
      <w:r w:rsidR="007C5B90">
        <w:t xml:space="preserve"> a</w:t>
      </w:r>
      <w:r w:rsidR="00411301">
        <w:t>s early as 200</w:t>
      </w:r>
      <w:r w:rsidR="007E6686">
        <w:t>7</w:t>
      </w:r>
      <w:r w:rsidR="00411301">
        <w:t xml:space="preserve">, </w:t>
      </w:r>
      <w:r w:rsidR="00D60C39">
        <w:t>many in Europe</w:t>
      </w:r>
      <w:r w:rsidR="00411301">
        <w:t xml:space="preserve"> recognized the growing need for green energy imports given insufficient wind and solar power within the European footprint.</w:t>
      </w:r>
      <w:r w:rsidR="006D16E5">
        <w:rPr>
          <w:rStyle w:val="FootnoteReference"/>
        </w:rPr>
        <w:footnoteReference w:id="15"/>
      </w:r>
      <w:r w:rsidR="00411301">
        <w:t xml:space="preserve"> </w:t>
      </w:r>
      <w:r w:rsidR="007E6CE5">
        <w:t xml:space="preserve"> </w:t>
      </w:r>
      <w:r w:rsidR="00411301">
        <w:t xml:space="preserve">One step </w:t>
      </w:r>
      <w:r w:rsidR="007E6686">
        <w:t xml:space="preserve">listed in the report </w:t>
      </w:r>
      <w:r w:rsidR="00411301">
        <w:t xml:space="preserve">was the use of North Sea wind.  In addition, </w:t>
      </w:r>
      <w:r w:rsidR="00D60C39">
        <w:t>the report highlighted a plan</w:t>
      </w:r>
      <w:r w:rsidR="00411301">
        <w:t xml:space="preserve"> to generate solar power in North Africa and the Middle East and to build a high voltage transmission grid to bring the electricity to Europe</w:t>
      </w:r>
      <w:r w:rsidR="00B1020F">
        <w:t xml:space="preserve">.  </w:t>
      </w:r>
      <w:r w:rsidR="00411301">
        <w:t xml:space="preserve">However, given the political and technical challenges, that plan appears to have stalled.  The emerging approach is to transport hydrogen.  </w:t>
      </w:r>
      <w:r w:rsidR="00340336">
        <w:t>I</w:t>
      </w:r>
      <w:r w:rsidR="00411301">
        <w:t xml:space="preserve">nvestments in green hydrogen production are occurring in Saudi Arabia and Tunisia.  A recent study by researchers at UT Austin shows that, for large </w:t>
      </w:r>
      <w:r w:rsidR="00411301">
        <w:lastRenderedPageBreak/>
        <w:t>scale demand, the cost of transmitting hydrogen can be less than half the cost of using the grid to transmit the electricity needed to make the hydrogen at the point of use.</w:t>
      </w:r>
      <w:r w:rsidR="00411301">
        <w:rPr>
          <w:rStyle w:val="FootnoteReference"/>
        </w:rPr>
        <w:footnoteReference w:id="16"/>
      </w:r>
      <w:r w:rsidR="00411301">
        <w:t xml:space="preserve">  </w:t>
      </w:r>
    </w:p>
    <w:p w14:paraId="3B063BA7" w14:textId="28FE4FEC" w:rsidR="001D30E5" w:rsidRDefault="00411301" w:rsidP="009F15DE">
      <w:pPr>
        <w:pStyle w:val="Answer2"/>
      </w:pPr>
      <w:r>
        <w:t xml:space="preserve">Recognizing this emerging opportunity, utility-scale gas turbine manufacturers are developing products that operate on a blend of hydrogen and natural gas aiming toward a time when 100% hydrogen is competitive.  For example, a joint venture between Mitsubishi Heavy </w:t>
      </w:r>
      <w:r w:rsidR="00C25E8D">
        <w:t>I</w:t>
      </w:r>
      <w:r>
        <w:t xml:space="preserve">ndustries and Hitachi reports more than 3.5 million hours of </w:t>
      </w:r>
      <w:r w:rsidRPr="00C77074">
        <w:t>turbine</w:t>
      </w:r>
      <w:r>
        <w:t xml:space="preserve"> operation with hydrogen content between 30% - 90% in a mixture of hydrogen and natural gas.</w:t>
      </w:r>
      <w:r>
        <w:rPr>
          <w:rStyle w:val="FootnoteReference"/>
        </w:rPr>
        <w:footnoteReference w:id="17"/>
      </w:r>
      <w:r>
        <w:t xml:space="preserve">  Success required combustor modifications to stabilize combustion and to reduce NOx emissions.</w:t>
      </w:r>
    </w:p>
    <w:p w14:paraId="792B5366" w14:textId="77777777" w:rsidR="001D30E5" w:rsidRDefault="001D30E5" w:rsidP="009F15DE">
      <w:pPr>
        <w:pStyle w:val="Answer"/>
      </w:pPr>
    </w:p>
    <w:p w14:paraId="0E2B792D" w14:textId="77777777" w:rsidR="001D30E5" w:rsidRDefault="00411301">
      <w:pPr>
        <w:pStyle w:val="Q"/>
      </w:pPr>
      <w:r>
        <w:t>in your view, what are the drivers behind those trends?</w:t>
      </w:r>
    </w:p>
    <w:p w14:paraId="34D47669" w14:textId="0296B4AF" w:rsidR="001D30E5" w:rsidRDefault="00411301" w:rsidP="009F15DE">
      <w:pPr>
        <w:pStyle w:val="Answer"/>
      </w:pPr>
      <w:r>
        <w:t>A.</w:t>
      </w:r>
      <w:r>
        <w:tab/>
        <w:t xml:space="preserve">The key driver is the globally recognized need to decarbonize electricity production while expanding the supply of affordable electricity to maintain an acceptable standard of living.  In addition, momentum is growing because it is becoming clear that all efforts to decarbonize electricity will require significant new infrastructure due to the scale of the opportunity. </w:t>
      </w:r>
      <w:r w:rsidR="001E24B3">
        <w:t xml:space="preserve"> </w:t>
      </w:r>
      <w:r>
        <w:t xml:space="preserve">Hydrogen is interesting in this respect because, while it has the potential to redefine the production and distribution of electric energy, it </w:t>
      </w:r>
      <w:r w:rsidR="006A0781">
        <w:t xml:space="preserve">also </w:t>
      </w:r>
      <w:r>
        <w:t xml:space="preserve">has many applications beyond the electric grid.  This provides several large industries across which to spread the infrastructure cost.  In fact, the roadmap promulgated by the Fuel Cell and Hydrogen Energy Association, a U.S. Trade Association, explicitly </w:t>
      </w:r>
      <w:r>
        <w:lastRenderedPageBreak/>
        <w:t xml:space="preserve">envisions hydrogen applications in transportation, industrial processing, and power generation, both for grid augmentation and off-grid applications.  Moreover, it expects early applications in each of these areas will drive down the costs to enable more applications over the next </w:t>
      </w:r>
      <w:r w:rsidR="00C25E8D">
        <w:t xml:space="preserve">30 </w:t>
      </w:r>
      <w:r>
        <w:t>years.</w:t>
      </w:r>
    </w:p>
    <w:p w14:paraId="55CF636C" w14:textId="5813A053" w:rsidR="001D30E5" w:rsidRDefault="00411301" w:rsidP="009F15DE">
      <w:pPr>
        <w:pStyle w:val="Answer2"/>
      </w:pPr>
      <w:r>
        <w:t>The key drivers of developing clean hydrogen as a fuel source identified by the D</w:t>
      </w:r>
      <w:r w:rsidR="00813867">
        <w:t>OE</w:t>
      </w:r>
      <w:r>
        <w:t xml:space="preserve"> include</w:t>
      </w:r>
      <w:r w:rsidR="003C69DF">
        <w:t>:</w:t>
      </w:r>
      <w:r>
        <w:rPr>
          <w:rStyle w:val="FootnoteReference"/>
        </w:rPr>
        <w:footnoteReference w:id="18"/>
      </w:r>
      <w:r>
        <w:t xml:space="preserve"> </w:t>
      </w:r>
    </w:p>
    <w:p w14:paraId="102618CE" w14:textId="5FD86EA6" w:rsidR="001D30E5" w:rsidRDefault="003C69DF">
      <w:pPr>
        <w:pStyle w:val="A"/>
        <w:numPr>
          <w:ilvl w:val="1"/>
          <w:numId w:val="32"/>
        </w:numPr>
      </w:pPr>
      <w:r>
        <w:t>r</w:t>
      </w:r>
      <w:r w:rsidR="00411301">
        <w:t>educing greenhouse gas emissions</w:t>
      </w:r>
      <w:r w:rsidR="00010DF8">
        <w:t>;</w:t>
      </w:r>
      <w:r w:rsidR="00411301">
        <w:t xml:space="preserve"> </w:t>
      </w:r>
    </w:p>
    <w:p w14:paraId="20923FE6" w14:textId="0D19BC10" w:rsidR="001D30E5" w:rsidRDefault="003C69DF">
      <w:pPr>
        <w:pStyle w:val="A"/>
        <w:numPr>
          <w:ilvl w:val="1"/>
          <w:numId w:val="32"/>
        </w:numPr>
      </w:pPr>
      <w:r>
        <w:t>r</w:t>
      </w:r>
      <w:r w:rsidR="00411301">
        <w:t>educing oil consumption</w:t>
      </w:r>
      <w:r w:rsidR="00010DF8">
        <w:t>;</w:t>
      </w:r>
      <w:r w:rsidR="00411301">
        <w:t xml:space="preserve"> </w:t>
      </w:r>
    </w:p>
    <w:p w14:paraId="25AA22B6" w14:textId="2F50588D" w:rsidR="001D30E5" w:rsidRDefault="003C69DF">
      <w:pPr>
        <w:pStyle w:val="A"/>
        <w:numPr>
          <w:ilvl w:val="1"/>
          <w:numId w:val="32"/>
        </w:numPr>
      </w:pPr>
      <w:r>
        <w:t>a</w:t>
      </w:r>
      <w:r w:rsidR="00411301">
        <w:t>dvancing renewable power using hydrogen for energy storage and transmission</w:t>
      </w:r>
      <w:r w:rsidR="00010DF8">
        <w:t>;</w:t>
      </w:r>
      <w:r w:rsidR="00411301">
        <w:t xml:space="preserve"> </w:t>
      </w:r>
    </w:p>
    <w:p w14:paraId="0B0276E3" w14:textId="3861EF8A" w:rsidR="001D30E5" w:rsidRDefault="003C69DF">
      <w:pPr>
        <w:pStyle w:val="A"/>
        <w:numPr>
          <w:ilvl w:val="1"/>
          <w:numId w:val="32"/>
        </w:numPr>
      </w:pPr>
      <w:r>
        <w:t>f</w:t>
      </w:r>
      <w:r w:rsidR="00411301">
        <w:t>uel flexibility—use of diverse, domestic fuels, including clean and renewable fuels</w:t>
      </w:r>
      <w:r w:rsidR="00010DF8">
        <w:t>;</w:t>
      </w:r>
      <w:r w:rsidR="00411301">
        <w:t xml:space="preserve"> </w:t>
      </w:r>
    </w:p>
    <w:p w14:paraId="7897A2FA" w14:textId="202F6491" w:rsidR="001D30E5" w:rsidRDefault="003C69DF">
      <w:pPr>
        <w:pStyle w:val="A"/>
        <w:numPr>
          <w:ilvl w:val="1"/>
          <w:numId w:val="32"/>
        </w:numPr>
      </w:pPr>
      <w:r>
        <w:t>r</w:t>
      </w:r>
      <w:r w:rsidR="00411301">
        <w:t>educing air pollution</w:t>
      </w:r>
      <w:r w:rsidR="00010DF8">
        <w:t>;</w:t>
      </w:r>
      <w:r w:rsidR="00411301">
        <w:t xml:space="preserve"> </w:t>
      </w:r>
    </w:p>
    <w:p w14:paraId="6C5439B8" w14:textId="5531C393" w:rsidR="001D30E5" w:rsidRDefault="003C69DF">
      <w:pPr>
        <w:pStyle w:val="A"/>
        <w:numPr>
          <w:ilvl w:val="1"/>
          <w:numId w:val="32"/>
        </w:numPr>
      </w:pPr>
      <w:r>
        <w:t>h</w:t>
      </w:r>
      <w:r w:rsidR="00411301">
        <w:t>igh reliability and grid support capabilities</w:t>
      </w:r>
      <w:r w:rsidR="00010DF8">
        <w:t>;</w:t>
      </w:r>
      <w:r w:rsidR="00411301">
        <w:t xml:space="preserve"> </w:t>
      </w:r>
    </w:p>
    <w:p w14:paraId="76372D12" w14:textId="7128C161" w:rsidR="001D30E5" w:rsidRDefault="003C69DF">
      <w:pPr>
        <w:pStyle w:val="A"/>
        <w:numPr>
          <w:ilvl w:val="1"/>
          <w:numId w:val="32"/>
        </w:numPr>
      </w:pPr>
      <w:r>
        <w:t>l</w:t>
      </w:r>
      <w:r w:rsidR="00411301">
        <w:t>ow maintenance needs</w:t>
      </w:r>
      <w:r w:rsidR="00010DF8">
        <w:t>; and</w:t>
      </w:r>
      <w:r w:rsidR="00411301">
        <w:t xml:space="preserve"> </w:t>
      </w:r>
    </w:p>
    <w:p w14:paraId="3DC8F4AA" w14:textId="3271B323" w:rsidR="001D30E5" w:rsidRDefault="003C69DF">
      <w:pPr>
        <w:pStyle w:val="A"/>
        <w:numPr>
          <w:ilvl w:val="1"/>
          <w:numId w:val="32"/>
        </w:numPr>
      </w:pPr>
      <w:r>
        <w:t>o</w:t>
      </w:r>
      <w:r w:rsidR="00411301">
        <w:t>pportunities for economic growth and leadership in an emerging high-tech sector</w:t>
      </w:r>
      <w:r w:rsidR="006D61E8">
        <w:t>.</w:t>
      </w:r>
    </w:p>
    <w:p w14:paraId="615EF19A" w14:textId="77777777" w:rsidR="001D30E5" w:rsidRDefault="001D30E5" w:rsidP="003D5C1B">
      <w:pPr>
        <w:pStyle w:val="Answer"/>
        <w:suppressLineNumbers/>
      </w:pPr>
    </w:p>
    <w:p w14:paraId="1267849A" w14:textId="77777777" w:rsidR="001D30E5" w:rsidRDefault="00411301">
      <w:pPr>
        <w:pStyle w:val="Q"/>
      </w:pPr>
      <w:r>
        <w:lastRenderedPageBreak/>
        <w:t>please discuss any federal PROGRAMS AND policy initiatives aimed at development of infrastructure to support Hydrogen fuel production.</w:t>
      </w:r>
    </w:p>
    <w:p w14:paraId="2856D1C0" w14:textId="78A37236" w:rsidR="001D30E5" w:rsidRDefault="009F15DE" w:rsidP="009F15DE">
      <w:pPr>
        <w:pStyle w:val="Answer"/>
      </w:pPr>
      <w:r>
        <w:t>A.</w:t>
      </w:r>
      <w:r>
        <w:tab/>
      </w:r>
      <w:r w:rsidR="00411301">
        <w:t xml:space="preserve">Approximately $9 billion in the pending version of the bipartisan infrastructure bill developed by the U.S. Senate is dedicated to the development of hydrogen infrastructure. </w:t>
      </w:r>
      <w:r w:rsidR="001E24B3">
        <w:t xml:space="preserve"> </w:t>
      </w:r>
      <w:r w:rsidR="00411301" w:rsidRPr="00A66CF0">
        <w:t>If passed and signed</w:t>
      </w:r>
      <w:r w:rsidR="00411301">
        <w:t xml:space="preserve">, this investment should be a major contribution to the growth of domestic hydrogen use.  The fact that it was included in the bill underscores the fact that hydrogen is not viewed as a particularly partisan technology and consequently is </w:t>
      </w:r>
      <w:r w:rsidR="00982EB4">
        <w:t>expected</w:t>
      </w:r>
      <w:r w:rsidR="00411301">
        <w:t xml:space="preserve"> to enjoy continued federal support.</w:t>
      </w:r>
    </w:p>
    <w:p w14:paraId="25B9895E" w14:textId="6C6EE677" w:rsidR="001D30E5" w:rsidRDefault="00411301" w:rsidP="009F15DE">
      <w:pPr>
        <w:pStyle w:val="Answer2"/>
      </w:pPr>
      <w:r>
        <w:t xml:space="preserve">As mentioned above, the Energy Efficiency and Renewable Energy Office of the </w:t>
      </w:r>
      <w:r w:rsidR="00554423">
        <w:t xml:space="preserve">DOE </w:t>
      </w:r>
      <w:r>
        <w:t>is spearheading the Hydrogen Shot initiative to reduce the cost of clean hydrogen by 80% within a decade.  The D</w:t>
      </w:r>
      <w:r w:rsidR="00CE5F9D">
        <w:t>OE</w:t>
      </w:r>
      <w:r>
        <w:t xml:space="preserve"> has developed a multiyear plan to achieve this goal requiring annual appropriations by Congress and acceptance by the President.  Consequently, the DOE has a plan to inform budget development; the degree of implementation is an annual negotiation between Congress and the Administration.  </w:t>
      </w:r>
    </w:p>
    <w:p w14:paraId="59D7B416" w14:textId="0041B0BC" w:rsidR="001D30E5" w:rsidRDefault="00411301" w:rsidP="009F15DE">
      <w:pPr>
        <w:pStyle w:val="Answer2"/>
      </w:pPr>
      <w:r>
        <w:t>DOE internal efforts include HydroGEN,</w:t>
      </w:r>
      <w:r>
        <w:rPr>
          <w:rStyle w:val="FootnoteReference"/>
        </w:rPr>
        <w:footnoteReference w:id="19"/>
      </w:r>
      <w:r>
        <w:t xml:space="preserve"> a consortium of six DOE laboratories focused on advancing water splitting technologies for hydrogen production, HyMARC,</w:t>
      </w:r>
      <w:r>
        <w:rPr>
          <w:rStyle w:val="FootnoteReference"/>
        </w:rPr>
        <w:footnoteReference w:id="20"/>
      </w:r>
      <w:r>
        <w:t xml:space="preserve"> a six-lab consortium focused on materials to accelerate discovery of solid-phase and liquid materials for onboard vehicular hydrogen storage </w:t>
      </w:r>
      <w:r>
        <w:lastRenderedPageBreak/>
        <w:t>or as hydrogen carriers, and H2NEW,</w:t>
      </w:r>
      <w:r>
        <w:rPr>
          <w:rStyle w:val="FootnoteReference"/>
        </w:rPr>
        <w:footnoteReference w:id="21"/>
      </w:r>
      <w:r>
        <w:t xml:space="preserve"> a consortium of eight DOE laboratories to enable large-scale manufacturing of affordable electrolyzers.  This demonstrates that the DOE is sufficiently committed to hydrogen development </w:t>
      </w:r>
      <w:r w:rsidR="00604B79">
        <w:t xml:space="preserve">by </w:t>
      </w:r>
      <w:r>
        <w:t>converting part of the DOE laboratory system initially established to design and manufacture nuclear weapons to supporting a domestic hydrogen future.</w:t>
      </w:r>
    </w:p>
    <w:p w14:paraId="4324A122" w14:textId="758C5558" w:rsidR="001D30E5" w:rsidRDefault="00411301" w:rsidP="009F15DE">
      <w:pPr>
        <w:pStyle w:val="Answer2"/>
      </w:pPr>
      <w:r>
        <w:t xml:space="preserve">The support for advancing hydrogen is generally bipartisan even though hydrogen is of interest globally as a way to mitigate climate change.  There are likely three major factors that have </w:t>
      </w:r>
      <w:r w:rsidR="00AF1705">
        <w:t xml:space="preserve">contributed to bipartisan </w:t>
      </w:r>
      <w:r>
        <w:t>government support for hydrogen.  First, the benefits will be accrued in both the so</w:t>
      </w:r>
      <w:r w:rsidR="00C25E8D">
        <w:t>-</w:t>
      </w:r>
      <w:r>
        <w:t xml:space="preserve">called Red and Blue states.  Wind and solar power are typically inland and the business centers and large population centers are generally coastal. </w:t>
      </w:r>
      <w:r w:rsidR="001E24B3">
        <w:t xml:space="preserve"> </w:t>
      </w:r>
      <w:r>
        <w:t>The coastal regions benefit from improved air quality and the central U.S. benefits from new industry.</w:t>
      </w:r>
    </w:p>
    <w:p w14:paraId="6F4679D4" w14:textId="08E52FAE" w:rsidR="001D30E5" w:rsidRDefault="00411301" w:rsidP="009F15DE">
      <w:pPr>
        <w:pStyle w:val="Answer2"/>
      </w:pPr>
      <w:r>
        <w:t>Second, the move to hydrogen has strong industrial leadership</w:t>
      </w:r>
      <w:r>
        <w:rPr>
          <w:rStyle w:val="FootnoteReference"/>
        </w:rPr>
        <w:footnoteReference w:id="22"/>
      </w:r>
      <w:r>
        <w:t xml:space="preserve"> from more than 100 multinational corporations, particularly from the traditional oil and gas sector (e.g., BP, Shell, ARAMCO, and SoCalGas), the transportation sector (e.g., Airbus, GM, Toyota, Cummins, and Hyundai) and the utility sector (</w:t>
      </w:r>
      <w:r w:rsidR="005E4FE0">
        <w:t xml:space="preserve">e.g., </w:t>
      </w:r>
      <w:r>
        <w:t>EDF, Siemens, Mitsubishi and Alstom).</w:t>
      </w:r>
    </w:p>
    <w:p w14:paraId="7DBCAA1B" w14:textId="40D7A41A" w:rsidR="001D30E5" w:rsidRDefault="00411301" w:rsidP="009F15DE">
      <w:pPr>
        <w:pStyle w:val="Answer2"/>
      </w:pPr>
      <w:r>
        <w:t xml:space="preserve">Third, the U.S. is aggressively seeking to make up ground in this area of technology development.  The most recent report from DOE’s Hydrogen and Fuel Cell </w:t>
      </w:r>
      <w:r>
        <w:lastRenderedPageBreak/>
        <w:t>Technology Advisory Committee</w:t>
      </w:r>
      <w:r>
        <w:rPr>
          <w:rStyle w:val="FootnoteReference"/>
        </w:rPr>
        <w:footnoteReference w:id="23"/>
      </w:r>
      <w:r>
        <w:t xml:space="preserve"> notes that China plans to spend $17 billion on fuel cell technologies through 2022 in the public and private sectors. </w:t>
      </w:r>
      <w:r w:rsidR="001E24B3">
        <w:t xml:space="preserve"> </w:t>
      </w:r>
      <w:r>
        <w:t>Japan’s 2019 government investment was approximately $560 million, and Germany’s was an estimated $110 million.  Subsequently, Germany increased its investment to a</w:t>
      </w:r>
      <w:r w:rsidR="00A25B0D">
        <w:t>pproximately</w:t>
      </w:r>
      <w:r>
        <w:t xml:space="preserve"> $10 billion.  By contrast, prior to the bipartisan infrastructure bill discussed above, the U.S</w:t>
      </w:r>
      <w:r w:rsidR="001E24B3">
        <w:t>.</w:t>
      </w:r>
      <w:r>
        <w:t xml:space="preserve"> government investment was $150 million</w:t>
      </w:r>
      <w:r w:rsidR="00B1020F">
        <w:t xml:space="preserve">.  </w:t>
      </w:r>
      <w:r>
        <w:t xml:space="preserve">China, Germany, and Japan have a track record of developing advanced technologies, commercializing them, and exporting them to the U.S.  </w:t>
      </w:r>
      <w:r w:rsidR="00A25B0D">
        <w:t>G</w:t>
      </w:r>
      <w:r>
        <w:t xml:space="preserve">rowing political concern that it might be in the U.S. interest to keep more of the commercialization domestic </w:t>
      </w:r>
      <w:r w:rsidR="00A25B0D">
        <w:t>is expected to</w:t>
      </w:r>
      <w:r>
        <w:t xml:space="preserve"> help </w:t>
      </w:r>
      <w:r w:rsidR="00FF68FB">
        <w:t>maintain bipartisan support for</w:t>
      </w:r>
      <w:r>
        <w:t xml:space="preserve"> domestic hydrogen investment.  </w:t>
      </w:r>
    </w:p>
    <w:p w14:paraId="49D6C3D2" w14:textId="426123CE" w:rsidR="001D30E5" w:rsidRDefault="00411301" w:rsidP="009F15DE">
      <w:pPr>
        <w:pStyle w:val="Answer2"/>
      </w:pPr>
      <w:r>
        <w:t>Fortunately, as discussed above, Southeast Texas leads other parts of the country in the development of hydrogen infrastructure and is well-positioned to serve as a domestic hydrogen hub.</w:t>
      </w:r>
    </w:p>
    <w:p w14:paraId="4F232C6D" w14:textId="77777777" w:rsidR="001D30E5" w:rsidRDefault="001D30E5" w:rsidP="009F15DE">
      <w:pPr>
        <w:pStyle w:val="Answer"/>
      </w:pPr>
    </w:p>
    <w:p w14:paraId="136C22F9" w14:textId="77777777" w:rsidR="001D30E5" w:rsidRDefault="00411301">
      <w:pPr>
        <w:pStyle w:val="Q"/>
      </w:pPr>
      <w:r>
        <w:t>are you aware of other electric utilities making a commitment to dispatchable generation resources capable of burning hydrogen fuel?</w:t>
      </w:r>
    </w:p>
    <w:p w14:paraId="5D4F9A2A" w14:textId="13CC21E1" w:rsidR="001D30E5" w:rsidRDefault="009F15DE" w:rsidP="009F15DE">
      <w:pPr>
        <w:pStyle w:val="Answer"/>
      </w:pPr>
      <w:r>
        <w:rPr>
          <w:rStyle w:val="FootnoteTextChar"/>
          <w:rFonts w:cs="Times New Roman"/>
        </w:rPr>
        <w:t>A.</w:t>
      </w:r>
      <w:r>
        <w:rPr>
          <w:rStyle w:val="FootnoteTextChar"/>
          <w:rFonts w:cs="Times New Roman"/>
        </w:rPr>
        <w:tab/>
      </w:r>
      <w:r w:rsidR="00411301">
        <w:rPr>
          <w:rStyle w:val="FootnoteTextChar"/>
          <w:rFonts w:cs="Times New Roman"/>
        </w:rPr>
        <w:t>There are many who are doing so today.  For example, the Intermountain Power Agency, owner of the 1,800-MW coal-fired Intermountain power plant in Delta, Utah, is converting the facility into an 840-MW combined-cycle facility</w:t>
      </w:r>
      <w:r w:rsidR="00411301">
        <w:rPr>
          <w:rStyle w:val="FootnoteReference"/>
        </w:rPr>
        <w:footnoteReference w:id="24"/>
      </w:r>
      <w:r w:rsidR="00411301">
        <w:rPr>
          <w:rStyle w:val="FootnoteTextChar"/>
          <w:rFonts w:cs="Times New Roman"/>
        </w:rPr>
        <w:t xml:space="preserve"> that will run </w:t>
      </w:r>
      <w:r w:rsidR="00411301">
        <w:rPr>
          <w:rStyle w:val="FootnoteTextChar"/>
          <w:rFonts w:cs="Times New Roman"/>
        </w:rPr>
        <w:lastRenderedPageBreak/>
        <w:t xml:space="preserve">initially on a mix of natural gas and hydrogen and will ultimately operate on hydrogen alone.  </w:t>
      </w:r>
    </w:p>
    <w:p w14:paraId="51DA2DE0" w14:textId="70A5AEDF" w:rsidR="001D30E5" w:rsidRDefault="00411301" w:rsidP="009F15DE">
      <w:pPr>
        <w:pStyle w:val="Answer2"/>
      </w:pPr>
      <w:r>
        <w:t>In addition, a system scheduled to come on</w:t>
      </w:r>
      <w:r w:rsidR="00FF68FB">
        <w:t>-</w:t>
      </w:r>
      <w:r>
        <w:t>line this year is the Long Ridge facility in Ohio.</w:t>
      </w:r>
      <w:r>
        <w:rPr>
          <w:rStyle w:val="FootnoteReference"/>
          <w:color w:val="333333"/>
          <w:sz w:val="23"/>
          <w:szCs w:val="23"/>
        </w:rPr>
        <w:footnoteReference w:id="25"/>
      </w:r>
      <w:r>
        <w:t xml:space="preserve">  It is a purpose-built hydrogen-burning power plant in the United States and is based on a GE 7HA.02 combustion turbine, which can burn between 15</w:t>
      </w:r>
      <w:r w:rsidR="00BB3EB8">
        <w:noBreakHyphen/>
      </w:r>
      <w:r>
        <w:t>20% hydrogen (by volume) initially, with the capability to transition to 100% hydrogen.  While the other examples I discuss use Mitsubishi turbines, this project underscores that GE is also serving this market.</w:t>
      </w:r>
    </w:p>
    <w:p w14:paraId="3A1EC471" w14:textId="23B30363" w:rsidR="001D30E5" w:rsidRDefault="00411301" w:rsidP="009F15DE">
      <w:pPr>
        <w:pStyle w:val="Answer2"/>
      </w:pPr>
      <w:r>
        <w:t>In Texas, El Paso Electric</w:t>
      </w:r>
      <w:r>
        <w:rPr>
          <w:rStyle w:val="FootnoteReference"/>
        </w:rPr>
        <w:footnoteReference w:id="26"/>
      </w:r>
      <w:r>
        <w:t xml:space="preserve"> is replacing its Newman unit 6 with a Mitsubishi turbine that can operate on a blend of natural gas and hydrogen.  Utilization of this capability will require appropriate hydrogen infrastructure.  However, for the reasons discussed above, hydrogen appears to be on a path to be competitive during th</w:t>
      </w:r>
      <w:r w:rsidR="00FF68FB">
        <w:t>e</w:t>
      </w:r>
      <w:r>
        <w:t xml:space="preserve"> </w:t>
      </w:r>
      <w:r w:rsidR="006F0B42">
        <w:t xml:space="preserve">operational </w:t>
      </w:r>
      <w:r>
        <w:t>lifetime</w:t>
      </w:r>
      <w:r w:rsidR="006F0B42">
        <w:t xml:space="preserve"> of this resource</w:t>
      </w:r>
      <w:r>
        <w:t xml:space="preserve">.  Moreover, it is becoming obvious that given the wind and solar resources and the favorable geology for hydrogen storage considerations, hydrogen could be another revenue stream for the greater Permian basin area, giving the El Paso area improved hydrogen access. </w:t>
      </w:r>
      <w:r w:rsidR="001E24B3">
        <w:t xml:space="preserve"> </w:t>
      </w:r>
      <w:r>
        <w:t>The adoption of the mixed fuel turbines by the major manufacturers means the new plants will have a much simpler option for optimizing the future use of hydrogen and natural gas for the benefit of customers.</w:t>
      </w:r>
    </w:p>
    <w:p w14:paraId="4962E344" w14:textId="2595AE87" w:rsidR="001D30E5" w:rsidRPr="007A123C" w:rsidRDefault="00411301" w:rsidP="009F15DE">
      <w:pPr>
        <w:pStyle w:val="Answer2"/>
      </w:pPr>
      <w:r>
        <w:rPr>
          <w:rStyle w:val="FootnoteTextChar"/>
          <w:rFonts w:cs="Times New Roman"/>
        </w:rPr>
        <w:lastRenderedPageBreak/>
        <w:t xml:space="preserve">Finally, there are three projects in development </w:t>
      </w:r>
      <w:r w:rsidR="008C03EA">
        <w:rPr>
          <w:rStyle w:val="FootnoteTextChar"/>
          <w:rFonts w:cs="Times New Roman"/>
        </w:rPr>
        <w:t xml:space="preserve">in the U.S. </w:t>
      </w:r>
      <w:r>
        <w:rPr>
          <w:rStyle w:val="FootnoteTextChar"/>
          <w:rFonts w:cs="Times New Roman"/>
        </w:rPr>
        <w:t>that are more ambitious than OCAPS</w:t>
      </w:r>
      <w:r>
        <w:t xml:space="preserve">. </w:t>
      </w:r>
      <w:r w:rsidR="001E24B3">
        <w:t xml:space="preserve"> </w:t>
      </w:r>
      <w:r>
        <w:t>These three projects not only employ turbines that operate on a mixture of hydrogen and natural gas, but also implement green hydrogen standard packages for power balancing and energy storage.  The three projects</w:t>
      </w:r>
      <w:r>
        <w:rPr>
          <w:rStyle w:val="FootnoteReference"/>
        </w:rPr>
        <w:footnoteReference w:id="27"/>
      </w:r>
      <w:r>
        <w:t xml:space="preserve"> are the Danskammer Energy upgrade initiative in Newburgh, New York </w:t>
      </w:r>
      <w:r w:rsidR="00662233">
        <w:t>(</w:t>
      </w:r>
      <w:r>
        <w:t>600 MW</w:t>
      </w:r>
      <w:r w:rsidR="00662233">
        <w:t>)</w:t>
      </w:r>
      <w:r>
        <w:t xml:space="preserve">, the </w:t>
      </w:r>
      <w:r w:rsidR="00FC1AAF">
        <w:t xml:space="preserve">fully permitted </w:t>
      </w:r>
      <w:r>
        <w:t xml:space="preserve">Balico </w:t>
      </w:r>
      <w:r w:rsidR="00662233">
        <w:t xml:space="preserve">Chickahominy </w:t>
      </w:r>
      <w:r>
        <w:t>project in Virginia</w:t>
      </w:r>
      <w:r w:rsidR="00662233">
        <w:t xml:space="preserve"> (</w:t>
      </w:r>
      <w:r w:rsidR="00DD1A69">
        <w:t>1,600 MW</w:t>
      </w:r>
      <w:r w:rsidR="00662233" w:rsidRPr="007A123C">
        <w:t>)</w:t>
      </w:r>
      <w:r w:rsidR="00DD1A69" w:rsidRPr="007A123C">
        <w:t xml:space="preserve">, </w:t>
      </w:r>
      <w:r w:rsidRPr="007A123C">
        <w:t xml:space="preserve">and </w:t>
      </w:r>
      <w:r w:rsidR="00BD46C5" w:rsidRPr="007A123C">
        <w:t>the</w:t>
      </w:r>
      <w:r w:rsidRPr="007A123C">
        <w:t xml:space="preserve"> </w:t>
      </w:r>
      <w:r w:rsidR="00BD46C5" w:rsidRPr="007A123C">
        <w:t xml:space="preserve">fully </w:t>
      </w:r>
      <w:r w:rsidR="00BD46C5" w:rsidRPr="008C03EA">
        <w:t xml:space="preserve">permitted </w:t>
      </w:r>
      <w:r w:rsidRPr="008C03EA">
        <w:t>EmberClear Harrison Power Project in Cadiz, Ohio</w:t>
      </w:r>
      <w:r w:rsidR="00BD46C5" w:rsidRPr="008C03EA">
        <w:t xml:space="preserve"> (1,084 MW)</w:t>
      </w:r>
      <w:r w:rsidRPr="008C03EA">
        <w:t xml:space="preserve">.  These projects have three key components. </w:t>
      </w:r>
      <w:r w:rsidR="001E24B3" w:rsidRPr="008C03EA">
        <w:t xml:space="preserve"> </w:t>
      </w:r>
      <w:r w:rsidRPr="008C03EA">
        <w:t xml:space="preserve">First, electrolysis plants produce hydrogen.  Next, </w:t>
      </w:r>
      <w:r w:rsidR="00AD048F" w:rsidRPr="008C03EA">
        <w:t xml:space="preserve">hydrogen is </w:t>
      </w:r>
      <w:r w:rsidRPr="008C03EA">
        <w:t>stor</w:t>
      </w:r>
      <w:r w:rsidR="00AD048F" w:rsidRPr="008C03EA">
        <w:t>ed in</w:t>
      </w:r>
      <w:r w:rsidRPr="008C03EA">
        <w:t xml:space="preserve"> salt caverns, pipelines or above ground vessels.  Finally, hydrogen-enabled simple cycle or combined cycle gas turbine power plants convert the green hydrogen into centralized dispatchable electricity.  OCAPS requires </w:t>
      </w:r>
      <w:r w:rsidR="00AD048F" w:rsidRPr="008C03EA">
        <w:t xml:space="preserve">only </w:t>
      </w:r>
      <w:r w:rsidRPr="008C03EA">
        <w:t xml:space="preserve">the third element of the other systems as it can leverage hydrogen production, storage and transport in the region.  </w:t>
      </w:r>
    </w:p>
    <w:p w14:paraId="71B574BA" w14:textId="77777777" w:rsidR="001D30E5" w:rsidRPr="007A123C" w:rsidRDefault="001D30E5" w:rsidP="009F15DE">
      <w:pPr>
        <w:pStyle w:val="Answer"/>
      </w:pPr>
    </w:p>
    <w:p w14:paraId="594BF948" w14:textId="77777777" w:rsidR="001D30E5" w:rsidRDefault="00411301">
      <w:pPr>
        <w:pStyle w:val="Q"/>
      </w:pPr>
      <w:r>
        <w:t>ARE YOU AWARE OF ANY commitmentS BY COMBUSTION TURBINE MANUFACTURERS TO DESIGN TURBINES WITH HYDROGEN-FIRING CAPABILITY?</w:t>
      </w:r>
    </w:p>
    <w:p w14:paraId="52A726C8" w14:textId="7A554868" w:rsidR="001D30E5" w:rsidRDefault="00411301" w:rsidP="009F15DE">
      <w:pPr>
        <w:pStyle w:val="Answer"/>
      </w:pPr>
      <w:r>
        <w:t>A.</w:t>
      </w:r>
      <w:r>
        <w:tab/>
      </w:r>
      <w:r w:rsidR="008C03EA">
        <w:t xml:space="preserve">Yes.  </w:t>
      </w:r>
      <w:r>
        <w:t>The combustion turbine industry is a $5-10</w:t>
      </w:r>
      <w:r w:rsidR="008C03EA">
        <w:t xml:space="preserve"> billion</w:t>
      </w:r>
      <w:r>
        <w:t xml:space="preserve"> industry globally.  Today, manufacturers are experiencing significant growth in China, India</w:t>
      </w:r>
      <w:r w:rsidR="008C03EA">
        <w:t>,</w:t>
      </w:r>
      <w:r>
        <w:t xml:space="preserve"> and Japan, driven in large part by the conversion from coal to less carbon intensive sources of fuel.  In this situation, the industry’s adoption of mixed fuel, i.e., natural gas and hydrogen, is </w:t>
      </w:r>
      <w:r>
        <w:lastRenderedPageBreak/>
        <w:t>expected.  So today, such combustion turbines are premier offerings of major global manufacturers</w:t>
      </w:r>
      <w:r w:rsidR="008465E3">
        <w:t>.</w:t>
      </w:r>
      <w:r w:rsidR="00C3119E">
        <w:t xml:space="preserve">  Major combustion turbine manufacturers currently producing hydrogen-capable </w:t>
      </w:r>
      <w:r w:rsidR="00C1544A">
        <w:t xml:space="preserve">turbines include Mitsubishi, GE, </w:t>
      </w:r>
      <w:r w:rsidR="000F2613">
        <w:t>Siemens</w:t>
      </w:r>
      <w:r w:rsidR="00A1022C">
        <w:t xml:space="preserve">, and </w:t>
      </w:r>
      <w:r w:rsidR="00D60C39">
        <w:t>Ansaldo Energia</w:t>
      </w:r>
      <w:r w:rsidR="000C26CB">
        <w:t>.</w:t>
      </w:r>
    </w:p>
    <w:p w14:paraId="4CF83A13" w14:textId="3FE1C41B" w:rsidR="001D30E5" w:rsidRDefault="001D30E5" w:rsidP="009F15DE">
      <w:pPr>
        <w:pStyle w:val="Answer"/>
      </w:pPr>
    </w:p>
    <w:p w14:paraId="69D8C33E" w14:textId="71800F7A" w:rsidR="001D30E5" w:rsidRDefault="00411301">
      <w:pPr>
        <w:pStyle w:val="Q"/>
      </w:pPr>
      <w:r>
        <w:t>ETI has made the decision to invest in plant infrastructure to enable ocAps to co-fire hydrogen gas at 30% (by volume) initially and reduce the cost AND OUTAGE DURATION ASSOCIATED WITH potential future upgrades to enable oc</w:t>
      </w:r>
      <w:r w:rsidR="00447BE6">
        <w:t>A</w:t>
      </w:r>
      <w:r>
        <w:t>ps to fire up to 100% hydrogen.  Do you have an opinion regarding the suitability of eti’s site in orange county as a location for a hydrogen capable generating station?</w:t>
      </w:r>
    </w:p>
    <w:p w14:paraId="3BC70148" w14:textId="156A2E96" w:rsidR="001D30E5" w:rsidRDefault="00411301" w:rsidP="009F15DE">
      <w:pPr>
        <w:pStyle w:val="Answer"/>
      </w:pPr>
      <w:r>
        <w:t>A.</w:t>
      </w:r>
      <w:r>
        <w:tab/>
        <w:t xml:space="preserve">From a technical perspective, Orange County is one of the best places in the country to site a power plant that uses a mixture of hydrogen and natural gas.  Texas </w:t>
      </w:r>
      <w:r w:rsidR="00AD62AA">
        <w:t>leads the nation in the</w:t>
      </w:r>
      <w:r>
        <w:t xml:space="preserve"> produc</w:t>
      </w:r>
      <w:r w:rsidR="00E072AB">
        <w:t>tion</w:t>
      </w:r>
      <w:r>
        <w:t xml:space="preserve"> </w:t>
      </w:r>
      <w:r w:rsidR="00E072AB">
        <w:t xml:space="preserve">of </w:t>
      </w:r>
      <w:r>
        <w:t>natural gas and much of the Texas natural gas, and natural gas from other parts of the U.S. passes through the Texas-Louisiana Gulf Coast.  In addition, the nation’s most extensive hydrogen pipeline network is maintained along the Texas-Louisiana Gulf Co</w:t>
      </w:r>
      <w:r w:rsidR="008C03EA">
        <w:t>a</w:t>
      </w:r>
      <w:r>
        <w:t>st</w:t>
      </w:r>
      <w:r w:rsidR="008C03EA">
        <w:t>,</w:t>
      </w:r>
      <w:r>
        <w:t xml:space="preserve"> driven in part by the need for hydrogen in oil refining</w:t>
      </w:r>
      <w:r w:rsidR="00F24056">
        <w:t xml:space="preserve">, with three major pipelines located </w:t>
      </w:r>
      <w:r w:rsidR="00E0679E">
        <w:t xml:space="preserve">in </w:t>
      </w:r>
      <w:r w:rsidR="00F24056">
        <w:t>proximity to the OCAPS site</w:t>
      </w:r>
      <w:r>
        <w:t xml:space="preserve">.  This means that the plant is in an area that has companies and a workforce that are already skilled at making, storing and transporting hydrogen, as well as making and maintaining hydrogen pipelines. </w:t>
      </w:r>
      <w:r w:rsidR="001E24B3">
        <w:t xml:space="preserve"> </w:t>
      </w:r>
      <w:r>
        <w:t>Many foreign countries and multinational companies see Texas as a future global hydrogen leader given its current infrastructure, wind and solar power potential</w:t>
      </w:r>
      <w:r w:rsidR="00F215A4">
        <w:t>,</w:t>
      </w:r>
      <w:r>
        <w:t xml:space="preserve"> and potential large market demand near the existing infrastructure – the Texas triangle, </w:t>
      </w:r>
      <w:r>
        <w:lastRenderedPageBreak/>
        <w:t xml:space="preserve">roughly bounded by the Houston, Dallas and San Antonio metropolitan areas is more populous than about 35 of the U.S. states. </w:t>
      </w:r>
    </w:p>
    <w:p w14:paraId="42F4B9EA" w14:textId="4C156D8A" w:rsidR="00A44334" w:rsidRDefault="00F24056" w:rsidP="009F15DE">
      <w:pPr>
        <w:pStyle w:val="Answer2"/>
      </w:pPr>
      <w:r>
        <w:t xml:space="preserve">Also, I understand ETI owns two salt caverns that will be interconnected to OCAPS, with a third permitted for leaching and operation.  </w:t>
      </w:r>
      <w:r w:rsidR="00DC541E">
        <w:t>In addition, the world’s largest underground cavern used for hydrogen storage was recently commissioned near the plant site,</w:t>
      </w:r>
      <w:r w:rsidR="00DC541E">
        <w:rPr>
          <w:rStyle w:val="FootnoteReference"/>
        </w:rPr>
        <w:footnoteReference w:id="28"/>
      </w:r>
      <w:r w:rsidR="00DC541E">
        <w:t xml:space="preserve"> and t</w:t>
      </w:r>
      <w:r>
        <w:t xml:space="preserve">here is </w:t>
      </w:r>
      <w:r w:rsidR="00DC541E">
        <w:t xml:space="preserve">another </w:t>
      </w:r>
      <w:r>
        <w:t xml:space="preserve">third-party hydrogen storage facility located </w:t>
      </w:r>
      <w:r w:rsidR="00DC541E">
        <w:t>nearby</w:t>
      </w:r>
      <w:r w:rsidR="00DC541E" w:rsidRPr="00984852">
        <w:t xml:space="preserve"> </w:t>
      </w:r>
      <w:r w:rsidR="00DC541E">
        <w:t>that has been in commercial operation for more than a decade</w:t>
      </w:r>
      <w:r w:rsidR="00DC541E" w:rsidRPr="00DC541E">
        <w:rPr>
          <w:rStyle w:val="FootnoteReference"/>
        </w:rPr>
        <w:t xml:space="preserve"> </w:t>
      </w:r>
      <w:r w:rsidR="00DC541E">
        <w:t xml:space="preserve">and </w:t>
      </w:r>
      <w:r w:rsidR="00A44334">
        <w:t xml:space="preserve">is connected to </w:t>
      </w:r>
      <w:r w:rsidR="00DC541E">
        <w:t xml:space="preserve">a </w:t>
      </w:r>
      <w:r w:rsidR="00A44334">
        <w:t>hydrogen pipeline that passes near the plant</w:t>
      </w:r>
      <w:r>
        <w:t>.</w:t>
      </w:r>
      <w:r w:rsidR="009B1549">
        <w:rPr>
          <w:rStyle w:val="FootnoteReference"/>
        </w:rPr>
        <w:footnoteReference w:id="29"/>
      </w:r>
      <w:r w:rsidR="009B1549" w:rsidRPr="009B1549">
        <w:rPr>
          <w:vertAlign w:val="superscript"/>
        </w:rPr>
        <w:t>,</w:t>
      </w:r>
      <w:r w:rsidR="00A44334">
        <w:rPr>
          <w:rStyle w:val="FootnoteReference"/>
        </w:rPr>
        <w:footnoteReference w:id="30"/>
      </w:r>
      <w:r w:rsidR="00A44334">
        <w:t xml:space="preserve"> </w:t>
      </w:r>
    </w:p>
    <w:p w14:paraId="6FCACE62" w14:textId="44FF391F" w:rsidR="00F24056" w:rsidRDefault="00F24056" w:rsidP="009F15DE">
      <w:pPr>
        <w:pStyle w:val="Answer2"/>
      </w:pPr>
      <w:r>
        <w:t>As I previously mentioned, large-scale storage combined with more efficient utilization of wind and solar resources affords the opportunity to produce and store green hydrogen</w:t>
      </w:r>
      <w:r w:rsidR="00684F30">
        <w:t xml:space="preserve"> in order to effectively convert intermittent renewable resources into dispatchable clean </w:t>
      </w:r>
      <w:r w:rsidR="00EE5A8D">
        <w:t>resources</w:t>
      </w:r>
      <w:r>
        <w:t>.  These nearby large-scale storage facilities uniquely position the OCAPS plant to take advantage of that opportunity.</w:t>
      </w:r>
    </w:p>
    <w:p w14:paraId="0E3F25B8" w14:textId="45EDE483" w:rsidR="00A44334" w:rsidRPr="00A44334" w:rsidRDefault="00A44334" w:rsidP="00A44334">
      <w:pPr>
        <w:pStyle w:val="Answer2"/>
      </w:pPr>
      <w:r>
        <w:t xml:space="preserve">Finally, </w:t>
      </w:r>
      <w:r w:rsidR="00BB0D6B">
        <w:t xml:space="preserve">hydrogen </w:t>
      </w:r>
      <w:r>
        <w:t xml:space="preserve">pipeline and storage </w:t>
      </w:r>
      <w:r w:rsidR="00BB0D6B">
        <w:t xml:space="preserve">access </w:t>
      </w:r>
      <w:r>
        <w:t xml:space="preserve">enhance reliability.  </w:t>
      </w:r>
      <w:r w:rsidR="00BB0D6B">
        <w:t xml:space="preserve">The ability to utilize </w:t>
      </w:r>
      <w:r>
        <w:t xml:space="preserve">two different </w:t>
      </w:r>
      <w:r w:rsidR="009B1549">
        <w:t xml:space="preserve">fuel </w:t>
      </w:r>
      <w:r>
        <w:t>sources to generate electricity provides some capability if one is disrupted</w:t>
      </w:r>
      <w:r w:rsidR="00BB0D6B">
        <w:t xml:space="preserve"> or constrained</w:t>
      </w:r>
      <w:r>
        <w:t xml:space="preserve">.  </w:t>
      </w:r>
      <w:r w:rsidR="00BB0D6B">
        <w:t xml:space="preserve">It is my understanding from discussions with Linde </w:t>
      </w:r>
      <w:r>
        <w:t xml:space="preserve">that during the massive outage in the winter of 2021, </w:t>
      </w:r>
      <w:r w:rsidR="00BB0D6B">
        <w:t xml:space="preserve">its commercial </w:t>
      </w:r>
      <w:r>
        <w:t>storage facility remained operational, distributing hydrogen as required.</w:t>
      </w:r>
    </w:p>
    <w:p w14:paraId="5C89063D" w14:textId="77777777" w:rsidR="001D30E5" w:rsidRDefault="001D30E5" w:rsidP="003D5C1B">
      <w:pPr>
        <w:pStyle w:val="Answer"/>
        <w:suppressLineNumbers/>
      </w:pPr>
    </w:p>
    <w:p w14:paraId="0FC13F42" w14:textId="6B4C4F2C" w:rsidR="001D30E5" w:rsidRDefault="00411301">
      <w:pPr>
        <w:pStyle w:val="Q"/>
      </w:pPr>
      <w:r>
        <w:lastRenderedPageBreak/>
        <w:t>can you please discuss the types of industries located in proximity to the proposed ocAps site and how those industries are positioned to play a role in the de</w:t>
      </w:r>
      <w:r w:rsidR="001E24B3">
        <w:t>ve</w:t>
      </w:r>
      <w:r>
        <w:t>lopment and use of hydrogen in southeast texas?</w:t>
      </w:r>
    </w:p>
    <w:p w14:paraId="03A48C70" w14:textId="6C9F8C00" w:rsidR="001D30E5" w:rsidRDefault="009F15DE" w:rsidP="009F15DE">
      <w:pPr>
        <w:pStyle w:val="Answer"/>
      </w:pPr>
      <w:r>
        <w:t>A.</w:t>
      </w:r>
      <w:r>
        <w:tab/>
      </w:r>
      <w:r w:rsidR="00411301">
        <w:t xml:space="preserve">Refineries that constitute a cornerstone of the Orange County and Southeast Texas economy have used hydrogen for decades.  This means that while the transition to a hydrogen economy is an emerging technology for most of the world, it is a natural expansion of a mature industry and skill set in Orange County.  The </w:t>
      </w:r>
      <w:r w:rsidR="008C03EA">
        <w:t>c</w:t>
      </w:r>
      <w:r w:rsidR="00411301">
        <w:t xml:space="preserve">ounty has companies and a workforce experienced in buying, selling and transporting hydrogen.  This OCAPS plant </w:t>
      </w:r>
      <w:r w:rsidR="00F215A4">
        <w:t>can</w:t>
      </w:r>
      <w:r w:rsidR="000531F0">
        <w:t xml:space="preserve"> help</w:t>
      </w:r>
      <w:r w:rsidR="00411301">
        <w:t xml:space="preserve"> grow that base </w:t>
      </w:r>
      <w:r w:rsidR="000531F0">
        <w:t xml:space="preserve">and </w:t>
      </w:r>
      <w:r w:rsidR="003A1BD5">
        <w:t xml:space="preserve">further </w:t>
      </w:r>
      <w:r w:rsidR="000531F0">
        <w:t>position</w:t>
      </w:r>
      <w:r w:rsidR="00411301">
        <w:t xml:space="preserve"> </w:t>
      </w:r>
      <w:r w:rsidR="000531F0">
        <w:t>Texas</w:t>
      </w:r>
      <w:r w:rsidR="00411301">
        <w:t xml:space="preserve"> </w:t>
      </w:r>
      <w:r w:rsidR="003A1BD5">
        <w:t xml:space="preserve">to be </w:t>
      </w:r>
      <w:r w:rsidR="00411301">
        <w:t xml:space="preserve">a leader in the safe and effective use of hydrogen.  </w:t>
      </w:r>
    </w:p>
    <w:p w14:paraId="5AAC66C6" w14:textId="77777777" w:rsidR="001D30E5" w:rsidRDefault="001D30E5" w:rsidP="009F15DE">
      <w:pPr>
        <w:pStyle w:val="Answer"/>
      </w:pPr>
    </w:p>
    <w:p w14:paraId="22EF9BB7" w14:textId="3FCACB32" w:rsidR="001D30E5" w:rsidRDefault="00411301">
      <w:pPr>
        <w:pStyle w:val="Q"/>
      </w:pPr>
      <w:r>
        <w:t xml:space="preserve">do you have a GEnERAL opinion regarding whether ETI’s decision to enable hydrogen capability </w:t>
      </w:r>
      <w:r w:rsidR="008C03EA">
        <w:t xml:space="preserve">at the OCAPS plant </w:t>
      </w:r>
      <w:r>
        <w:t xml:space="preserve">will promote environmental integrity for the benefit of the public? </w:t>
      </w:r>
    </w:p>
    <w:p w14:paraId="5D357087" w14:textId="6D2A6656" w:rsidR="001D30E5" w:rsidRDefault="009F15DE" w:rsidP="009F15DE">
      <w:pPr>
        <w:pStyle w:val="Answer"/>
      </w:pPr>
      <w:r>
        <w:t>A.</w:t>
      </w:r>
      <w:r>
        <w:tab/>
      </w:r>
      <w:r w:rsidR="00411301">
        <w:t xml:space="preserve">For decades, Orange County and Texas as a whole have focused on improving air quality to improve the health and well-being of the citizens. </w:t>
      </w:r>
      <w:r w:rsidR="000531F0">
        <w:t xml:space="preserve"> </w:t>
      </w:r>
      <w:r w:rsidR="00411301">
        <w:t xml:space="preserve">Although Texas continues to reduce its levels of air pollution statewide, much </w:t>
      </w:r>
      <w:r w:rsidR="00FA4A9A">
        <w:t xml:space="preserve">more can be achieved in this </w:t>
      </w:r>
      <w:r w:rsidR="00951F9C">
        <w:t>area</w:t>
      </w:r>
      <w:r w:rsidR="00411301">
        <w:t xml:space="preserve">.  Having a turbine that can operate on a mixture of hydrogen and natural gas permits the turbine operator to make dynamic cost-benefit analyses to determine which mixture is best depending on the cost and carbon footprint of the available hydrogen.  This flexibility has the potential to provide local and statewide air quality benefits.  Power </w:t>
      </w:r>
      <w:r w:rsidR="00411301">
        <w:lastRenderedPageBreak/>
        <w:t xml:space="preserve">plants are long life items.  The cost of fuel, regulations and public expectations are all expected to </w:t>
      </w:r>
      <w:r w:rsidR="00951F9C">
        <w:t>evolve</w:t>
      </w:r>
      <w:r w:rsidR="00411301">
        <w:t xml:space="preserve"> during this period of rapid technological change.  Flexibility in the fuel mixture not only enhances long-term reliability, but enhances the capability to respond to changes in environmental expectations.</w:t>
      </w:r>
    </w:p>
    <w:p w14:paraId="662ADBF5" w14:textId="77777777" w:rsidR="001D30E5" w:rsidRDefault="001D30E5" w:rsidP="009F15DE">
      <w:pPr>
        <w:pStyle w:val="Answer"/>
      </w:pPr>
    </w:p>
    <w:p w14:paraId="15453BF2" w14:textId="77777777" w:rsidR="001D30E5" w:rsidRDefault="00411301">
      <w:pPr>
        <w:pStyle w:val="Heading1"/>
        <w:tabs>
          <w:tab w:val="clear" w:pos="4140"/>
          <w:tab w:val="num" w:pos="3420"/>
        </w:tabs>
        <w:ind w:left="720"/>
        <w:rPr>
          <w:rFonts w:ascii="Times New Roman" w:hAnsi="Times New Roman"/>
        </w:rPr>
      </w:pPr>
      <w:bookmarkStart w:id="9" w:name="_Toc80251072"/>
      <w:bookmarkStart w:id="10" w:name="_Toc80251287"/>
      <w:r>
        <w:rPr>
          <w:rFonts w:ascii="Times New Roman" w:hAnsi="Times New Roman"/>
        </w:rPr>
        <w:t>Conclusion</w:t>
      </w:r>
      <w:bookmarkEnd w:id="9"/>
      <w:bookmarkEnd w:id="10"/>
    </w:p>
    <w:p w14:paraId="1C1962A5" w14:textId="77777777" w:rsidR="001D30E5" w:rsidRDefault="00411301" w:rsidP="009F15DE">
      <w:pPr>
        <w:pStyle w:val="Q"/>
      </w:pPr>
      <w:r>
        <w:t>DOES THIS</w:t>
      </w:r>
      <w:bookmarkStart w:id="11" w:name="_GoBack"/>
      <w:bookmarkEnd w:id="11"/>
      <w:r>
        <w:t xml:space="preserve"> CONCLUDE YOUR DIRECT TESTIMONY?</w:t>
      </w:r>
    </w:p>
    <w:p w14:paraId="7FF12425" w14:textId="3A27A2E5" w:rsidR="001D30E5" w:rsidRDefault="00411301" w:rsidP="00EE5A8D">
      <w:pPr>
        <w:pStyle w:val="Answer"/>
      </w:pPr>
      <w:r>
        <w:t>A.</w:t>
      </w:r>
      <w:r>
        <w:tab/>
        <w:t>Yes, at this time.</w:t>
      </w:r>
    </w:p>
    <w:sectPr w:rsidR="001D30E5">
      <w:footerReference w:type="default" r:id="rId16"/>
      <w:pgSz w:w="12240" w:h="15840" w:code="1"/>
      <w:pgMar w:top="1440" w:right="1440" w:bottom="1440" w:left="1440" w:header="720" w:footer="720" w:gutter="36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10811" w14:textId="77777777" w:rsidR="00861EFC" w:rsidRDefault="00861EFC">
      <w:r>
        <w:separator/>
      </w:r>
    </w:p>
  </w:endnote>
  <w:endnote w:type="continuationSeparator" w:id="0">
    <w:p w14:paraId="059D3B45" w14:textId="77777777" w:rsidR="00861EFC" w:rsidRDefault="00861EFC">
      <w:r>
        <w:continuationSeparator/>
      </w:r>
    </w:p>
  </w:endnote>
  <w:endnote w:type="continuationNotice" w:id="1">
    <w:p w14:paraId="5F328459" w14:textId="77777777" w:rsidR="00861EFC" w:rsidRDefault="00861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19FC" w14:textId="77777777" w:rsidR="00CF69BD" w:rsidRDefault="00CF6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808F7" w14:textId="77777777" w:rsidR="00861EFC" w:rsidRDefault="00861EFC">
    <w:pPr>
      <w:pStyle w:val="Footer"/>
      <w:jc w:val="center"/>
    </w:pPr>
    <w:r>
      <w:fldChar w:fldCharType="begin"/>
    </w:r>
    <w:r>
      <w:instrText xml:space="preserve"> PAGE   \* MERGEFORMAT </w:instrText>
    </w:r>
    <w:r>
      <w:fldChar w:fldCharType="separate"/>
    </w:r>
    <w:r>
      <w:rPr>
        <w:noProof/>
      </w:rPr>
      <w:t>ii</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16B1E" w14:textId="77777777" w:rsidR="00CF69BD" w:rsidRDefault="00CF69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743541"/>
      <w:docPartObj>
        <w:docPartGallery w:val="Page Numbers (Bottom of Page)"/>
        <w:docPartUnique/>
      </w:docPartObj>
    </w:sdtPr>
    <w:sdtEndPr>
      <w:rPr>
        <w:noProof/>
        <w:sz w:val="24"/>
        <w:szCs w:val="24"/>
      </w:rPr>
    </w:sdtEndPr>
    <w:sdtContent>
      <w:p w14:paraId="1AAC405D" w14:textId="77777777" w:rsidR="00861EFC" w:rsidRDefault="00CF69BD">
        <w:pPr>
          <w:pStyle w:val="Footer"/>
          <w:jc w:val="center"/>
          <w:rPr>
            <w:sz w:val="24"/>
            <w:szCs w:val="24"/>
          </w:rPr>
        </w:pPr>
      </w:p>
    </w:sdtContent>
  </w:sdt>
  <w:p w14:paraId="5D2DE655" w14:textId="77777777" w:rsidR="00861EFC" w:rsidRDefault="00861EF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68FF" w14:textId="77777777" w:rsidR="00861EFC" w:rsidRDefault="00861EFC">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AE143" w14:textId="77777777" w:rsidR="00861EFC" w:rsidRDefault="00861EFC">
      <w:r>
        <w:separator/>
      </w:r>
    </w:p>
  </w:footnote>
  <w:footnote w:type="continuationSeparator" w:id="0">
    <w:p w14:paraId="3E3CE7CD" w14:textId="77777777" w:rsidR="00861EFC" w:rsidRDefault="00861EFC">
      <w:r>
        <w:continuationSeparator/>
      </w:r>
    </w:p>
  </w:footnote>
  <w:footnote w:type="continuationNotice" w:id="1">
    <w:p w14:paraId="1DBBE5D5" w14:textId="77777777" w:rsidR="00861EFC" w:rsidRDefault="00861EFC"/>
  </w:footnote>
  <w:footnote w:id="2">
    <w:p w14:paraId="66A74532" w14:textId="2FEC2C60" w:rsidR="00861EFC" w:rsidRDefault="00861EFC" w:rsidP="00DF59E6">
      <w:pPr>
        <w:pStyle w:val="FootnoteText"/>
      </w:pPr>
      <w:r>
        <w:rPr>
          <w:rStyle w:val="FootnoteReference"/>
          <w:rFonts w:cs="Times New Roman"/>
        </w:rPr>
        <w:footnoteRef/>
      </w:r>
      <w:r>
        <w:t xml:space="preserve"> </w:t>
      </w:r>
      <w:r>
        <w:tab/>
        <w:t>681 F. Supp. 16 (D.D.C. 1988).</w:t>
      </w:r>
    </w:p>
  </w:footnote>
  <w:footnote w:id="3">
    <w:p w14:paraId="51AD7DBC" w14:textId="126F3306" w:rsidR="00861EFC" w:rsidRDefault="00861EFC" w:rsidP="00DF59E6">
      <w:pPr>
        <w:pStyle w:val="FootnoteText"/>
      </w:pPr>
      <w:r>
        <w:rPr>
          <w:rStyle w:val="FootnoteReference"/>
        </w:rPr>
        <w:footnoteRef/>
      </w:r>
      <w:r>
        <w:t xml:space="preserve"> </w:t>
      </w:r>
      <w:r>
        <w:tab/>
      </w:r>
      <w:r w:rsidRPr="003173E8">
        <w:t>https://www.altenergymag.com/article/2009/04/the-history-of-hydrogen/555/</w:t>
      </w:r>
      <w:r>
        <w:t>.</w:t>
      </w:r>
    </w:p>
  </w:footnote>
  <w:footnote w:id="4">
    <w:p w14:paraId="28D0FB43" w14:textId="63104B28" w:rsidR="00861EFC" w:rsidRDefault="00861EFC" w:rsidP="00DF59E6">
      <w:pPr>
        <w:pStyle w:val="FootnoteText"/>
      </w:pPr>
      <w:r>
        <w:rPr>
          <w:rStyle w:val="FootnoteReference"/>
        </w:rPr>
        <w:footnoteRef/>
      </w:r>
      <w:r>
        <w:t xml:space="preserve"> </w:t>
      </w:r>
      <w:r>
        <w:tab/>
      </w:r>
      <w:r w:rsidRPr="00354617">
        <w:t>https://www.eia.gov/energyexplained/hydrogen/use-of-hydrogen.php</w:t>
      </w:r>
      <w:r>
        <w:t>.</w:t>
      </w:r>
    </w:p>
  </w:footnote>
  <w:footnote w:id="5">
    <w:p w14:paraId="45D30746" w14:textId="37BA7DE7" w:rsidR="00861EFC" w:rsidRDefault="00861EFC" w:rsidP="00DF59E6">
      <w:pPr>
        <w:pStyle w:val="FootnoteText"/>
      </w:pPr>
      <w:r>
        <w:rPr>
          <w:rStyle w:val="FootnoteReference"/>
          <w:rFonts w:cs="Times New Roman"/>
        </w:rPr>
        <w:footnoteRef/>
      </w:r>
      <w:r>
        <w:t xml:space="preserve"> </w:t>
      </w:r>
      <w:r>
        <w:tab/>
      </w:r>
      <w:r>
        <w:rPr>
          <w:shd w:val="clear" w:color="auto" w:fill="FFFFFF"/>
        </w:rPr>
        <w:t>Chapman, Andrew, et al. “A review of four case studies assessing the potential for hydrogen penetration of the future energy system.”  </w:t>
      </w:r>
      <w:r>
        <w:rPr>
          <w:i/>
          <w:iCs/>
          <w:shd w:val="clear" w:color="auto" w:fill="FFFFFF"/>
        </w:rPr>
        <w:t>International Journal of Hydrogen Energy</w:t>
      </w:r>
      <w:r>
        <w:rPr>
          <w:shd w:val="clear" w:color="auto" w:fill="FFFFFF"/>
        </w:rPr>
        <w:t> 44.13 (2019): 6371-6382.</w:t>
      </w:r>
    </w:p>
  </w:footnote>
  <w:footnote w:id="6">
    <w:p w14:paraId="3F2F5B92" w14:textId="12D5669A" w:rsidR="00861EFC" w:rsidRDefault="00861EFC" w:rsidP="00DF59E6">
      <w:pPr>
        <w:pStyle w:val="FootnoteText"/>
        <w:rPr>
          <w:rFonts w:cs="Times New Roman"/>
        </w:rPr>
      </w:pPr>
      <w:r>
        <w:rPr>
          <w:rStyle w:val="FootnoteReference"/>
        </w:rPr>
        <w:footnoteRef/>
      </w:r>
      <w:r>
        <w:t xml:space="preserve"> </w:t>
      </w:r>
      <w:r>
        <w:tab/>
      </w:r>
      <w:r w:rsidRPr="00330567">
        <w:t>https://www.energy.gov/eere/fuelcells/hydrogen-and-fuel-cell-technologies-office</w:t>
      </w:r>
      <w:r w:rsidRPr="00330567">
        <w:rPr>
          <w:rStyle w:val="Hyperlink"/>
          <w:u w:val="none"/>
        </w:rPr>
        <w:t>.</w:t>
      </w:r>
    </w:p>
  </w:footnote>
  <w:footnote w:id="7">
    <w:p w14:paraId="138C6805" w14:textId="4F958E36" w:rsidR="00861EFC" w:rsidRPr="005B2053" w:rsidRDefault="00861EFC" w:rsidP="00E85EC9">
      <w:pPr>
        <w:pStyle w:val="FootnoteText"/>
      </w:pPr>
      <w:r>
        <w:rPr>
          <w:rStyle w:val="FootnoteReference"/>
          <w:rFonts w:cs="Times New Roman"/>
        </w:rPr>
        <w:footnoteRef/>
      </w:r>
      <w:r>
        <w:tab/>
      </w:r>
      <w:hyperlink r:id="rId1" w:history="1">
        <w:r w:rsidRPr="002F2E61">
          <w:rPr>
            <w:rStyle w:val="Hyperlink"/>
          </w:rPr>
          <w:t>https://static1.squarespace.com/static/53ab1feee4b0bef0179a1563/t/5e7ca9d6c8fb3629d399fe0c/15852282</w:t>
        </w:r>
      </w:hyperlink>
      <w:r>
        <w:t xml:space="preserve"> </w:t>
      </w:r>
      <w:r w:rsidRPr="00330567">
        <w:t>63363/Road+Map+to+a+US+Hydrogen+Economy+Full+Report.pdf</w:t>
      </w:r>
      <w:r w:rsidRPr="00330567">
        <w:rPr>
          <w:rStyle w:val="Hyperlink"/>
          <w:rFonts w:cs="Times New Roman"/>
          <w:u w:val="none"/>
        </w:rPr>
        <w:t>.</w:t>
      </w:r>
      <w:r w:rsidDel="00DF59E6">
        <w:rPr>
          <w:rStyle w:val="Hyperlink"/>
          <w:rFonts w:cs="Times New Roman"/>
          <w:u w:val="none"/>
        </w:rPr>
        <w:t xml:space="preserve"> </w:t>
      </w:r>
    </w:p>
  </w:footnote>
  <w:footnote w:id="8">
    <w:p w14:paraId="6B92F22A" w14:textId="13B6095A" w:rsidR="00861EFC" w:rsidRDefault="00861EFC" w:rsidP="00DF59E6">
      <w:pPr>
        <w:pStyle w:val="FootnoteText"/>
      </w:pPr>
      <w:r>
        <w:rPr>
          <w:rStyle w:val="FootnoteReference"/>
        </w:rPr>
        <w:footnoteRef/>
      </w:r>
      <w:r>
        <w:t xml:space="preserve"> </w:t>
      </w:r>
      <w:r>
        <w:tab/>
      </w:r>
      <w:r w:rsidRPr="00817A46">
        <w:t>https://www.forbes.com/sites/jimmagill/2021/02/23/california-texas-vie-to-determine-which-will-be-us-hydrogen-capital/?sh=2e8055665006</w:t>
      </w:r>
      <w:r>
        <w:t xml:space="preserve">. </w:t>
      </w:r>
    </w:p>
  </w:footnote>
  <w:footnote w:id="9">
    <w:p w14:paraId="53A7B192" w14:textId="4F11FADB" w:rsidR="00861EFC" w:rsidRDefault="00861EFC" w:rsidP="00DF59E6">
      <w:pPr>
        <w:pStyle w:val="FootnoteText"/>
      </w:pPr>
      <w:r>
        <w:rPr>
          <w:rStyle w:val="FootnoteReference"/>
        </w:rPr>
        <w:footnoteRef/>
      </w:r>
      <w:r>
        <w:t xml:space="preserve"> </w:t>
      </w:r>
      <w:r>
        <w:tab/>
      </w:r>
      <w:r w:rsidRPr="00817A46">
        <w:t>https://www.</w:t>
      </w:r>
      <w:r w:rsidRPr="00DF59E6">
        <w:t>energy</w:t>
      </w:r>
      <w:r w:rsidRPr="00817A46">
        <w:t>.gov/eere/fuelcells/hydrogen-production</w:t>
      </w:r>
      <w:r>
        <w:t>.</w:t>
      </w:r>
    </w:p>
  </w:footnote>
  <w:footnote w:id="10">
    <w:p w14:paraId="0A7C4C8D" w14:textId="2A30164F" w:rsidR="00861EFC" w:rsidRDefault="00861EFC" w:rsidP="00C25E8D">
      <w:pPr>
        <w:pStyle w:val="FootnoteText"/>
      </w:pPr>
      <w:r>
        <w:rPr>
          <w:rStyle w:val="FootnoteReference"/>
        </w:rPr>
        <w:footnoteRef/>
      </w:r>
      <w:r>
        <w:t xml:space="preserve"> </w:t>
      </w:r>
      <w:r>
        <w:tab/>
      </w:r>
      <w:r w:rsidRPr="00802D1A">
        <w:t>https://www.world-nuclear.org/information-library/energy-and-the-environment/hydrogen-production-and-uses.aspx</w:t>
      </w:r>
      <w:r>
        <w:t>.</w:t>
      </w:r>
      <w:r w:rsidDel="00DF59E6">
        <w:t xml:space="preserve"> </w:t>
      </w:r>
    </w:p>
  </w:footnote>
  <w:footnote w:id="11">
    <w:p w14:paraId="0C7F4530" w14:textId="6BCF1F66" w:rsidR="00861EFC" w:rsidRDefault="00861EFC" w:rsidP="00DF59E6">
      <w:pPr>
        <w:pStyle w:val="FootnoteText"/>
      </w:pPr>
      <w:r>
        <w:rPr>
          <w:rStyle w:val="FootnoteReference"/>
          <w:rFonts w:cs="Times New Roman"/>
        </w:rPr>
        <w:footnoteRef/>
      </w:r>
      <w:r>
        <w:t xml:space="preserve"> </w:t>
      </w:r>
      <w:r>
        <w:tab/>
        <w:t>https://www.energy.gov/eere/fuelcells/hydrogen-pipelines.</w:t>
      </w:r>
    </w:p>
  </w:footnote>
  <w:footnote w:id="12">
    <w:p w14:paraId="098DECDA" w14:textId="272969DD" w:rsidR="00861EFC" w:rsidRDefault="00861EFC" w:rsidP="00DF59E6">
      <w:pPr>
        <w:pStyle w:val="FootnoteText"/>
      </w:pPr>
      <w:r>
        <w:rPr>
          <w:rStyle w:val="FootnoteReference"/>
          <w:rFonts w:cs="Times New Roman"/>
        </w:rPr>
        <w:footnoteRef/>
      </w:r>
      <w:r>
        <w:t xml:space="preserve"> </w:t>
      </w:r>
      <w:r>
        <w:tab/>
        <w:t>https://www.energy.gov/eere/fuelcells/site-and-bulk-hydrogen-storage.</w:t>
      </w:r>
    </w:p>
  </w:footnote>
  <w:footnote w:id="13">
    <w:p w14:paraId="24C41354" w14:textId="06C90A6B" w:rsidR="00861EFC" w:rsidRDefault="00861EFC" w:rsidP="00DF59E6">
      <w:pPr>
        <w:pStyle w:val="FootnoteText"/>
      </w:pPr>
      <w:r>
        <w:rPr>
          <w:rStyle w:val="FootnoteReference"/>
          <w:rFonts w:cs="Times New Roman"/>
        </w:rPr>
        <w:footnoteRef/>
      </w:r>
      <w:r>
        <w:t xml:space="preserve"> </w:t>
      </w:r>
      <w:r>
        <w:tab/>
        <w:t>Michael E</w:t>
      </w:r>
      <w:r w:rsidR="00F60E25">
        <w:t>.</w:t>
      </w:r>
      <w:r>
        <w:t xml:space="preserve"> Webber 2007 Environ. Res. Lett. 2 034007.</w:t>
      </w:r>
    </w:p>
  </w:footnote>
  <w:footnote w:id="14">
    <w:p w14:paraId="5D0CB161" w14:textId="5A80D4C1" w:rsidR="00861EFC" w:rsidRDefault="00861EFC" w:rsidP="00DF59E6">
      <w:pPr>
        <w:pStyle w:val="FootnoteText"/>
      </w:pPr>
      <w:r>
        <w:rPr>
          <w:rStyle w:val="FootnoteReference"/>
        </w:rPr>
        <w:footnoteRef/>
      </w:r>
      <w:r>
        <w:t xml:space="preserve"> </w:t>
      </w:r>
      <w:r>
        <w:tab/>
      </w:r>
      <w:r w:rsidRPr="00C62750">
        <w:t>https://www.seia.org/research-resources/top-10-solar-states-0</w:t>
      </w:r>
      <w:r>
        <w:t>.</w:t>
      </w:r>
    </w:p>
  </w:footnote>
  <w:footnote w:id="15">
    <w:p w14:paraId="57C6BB4D" w14:textId="7B949B13" w:rsidR="00861EFC" w:rsidRDefault="00861EFC" w:rsidP="00DF59E6">
      <w:pPr>
        <w:pStyle w:val="FootnoteText"/>
      </w:pPr>
      <w:r>
        <w:rPr>
          <w:rStyle w:val="FootnoteReference"/>
        </w:rPr>
        <w:footnoteRef/>
      </w:r>
      <w:r>
        <w:t xml:space="preserve"> </w:t>
      </w:r>
      <w:r>
        <w:tab/>
      </w:r>
      <w:r w:rsidRPr="007E6686">
        <w:t>https://eur-lex.europa.eu/LexUriServ/LexUriServ.do?uri=COM:2008:0781:FIN:EN:PDF</w:t>
      </w:r>
      <w:r>
        <w:t>.</w:t>
      </w:r>
      <w:r w:rsidRPr="007E6686">
        <w:t xml:space="preserve"> </w:t>
      </w:r>
    </w:p>
  </w:footnote>
  <w:footnote w:id="16">
    <w:p w14:paraId="06DDF0A4" w14:textId="256FFDCA" w:rsidR="00861EFC" w:rsidRDefault="00861EFC" w:rsidP="00DF59E6">
      <w:pPr>
        <w:pStyle w:val="FootnoteText"/>
      </w:pPr>
      <w:r>
        <w:rPr>
          <w:rStyle w:val="FootnoteReference"/>
          <w:rFonts w:cs="Times New Roman"/>
        </w:rPr>
        <w:footnoteRef/>
      </w:r>
      <w:r>
        <w:t xml:space="preserve"> </w:t>
      </w:r>
      <w:r>
        <w:tab/>
        <w:t>https://sites.utexas.edu/h2/files/2021/08/H2-White-Paper_Hydrogen-Pipelines-versus-Power-Lines.pdf.</w:t>
      </w:r>
    </w:p>
  </w:footnote>
  <w:footnote w:id="17">
    <w:p w14:paraId="4D16D6F5" w14:textId="15231F77" w:rsidR="00861EFC" w:rsidRDefault="00861EFC" w:rsidP="00DF59E6">
      <w:pPr>
        <w:pStyle w:val="FootnoteText"/>
      </w:pPr>
      <w:r>
        <w:rPr>
          <w:rStyle w:val="FootnoteReference"/>
          <w:rFonts w:cs="Times New Roman"/>
        </w:rPr>
        <w:footnoteRef/>
      </w:r>
      <w:r>
        <w:t xml:space="preserve"> </w:t>
      </w:r>
      <w:r>
        <w:tab/>
        <w:t>https://www.powermag.com/high-volume-hydrogen-gas-turbines-take-shape/.</w:t>
      </w:r>
    </w:p>
  </w:footnote>
  <w:footnote w:id="18">
    <w:p w14:paraId="00415969" w14:textId="412B86E8" w:rsidR="00861EFC" w:rsidRDefault="00861EFC" w:rsidP="00DF59E6">
      <w:pPr>
        <w:pStyle w:val="FootnoteText"/>
      </w:pPr>
      <w:r>
        <w:rPr>
          <w:rStyle w:val="FootnoteReference"/>
          <w:rFonts w:cs="Times New Roman"/>
        </w:rPr>
        <w:footnoteRef/>
      </w:r>
      <w:r>
        <w:t xml:space="preserve"> </w:t>
      </w:r>
      <w:r>
        <w:tab/>
        <w:t>https://www.energy.gov/sites/default/files/2014/03/f12/benefits.pdf.</w:t>
      </w:r>
    </w:p>
  </w:footnote>
  <w:footnote w:id="19">
    <w:p w14:paraId="660FD3E7" w14:textId="15A04580" w:rsidR="00861EFC" w:rsidRDefault="00861EFC" w:rsidP="00DF59E6">
      <w:pPr>
        <w:pStyle w:val="FootnoteText"/>
      </w:pPr>
      <w:r>
        <w:rPr>
          <w:rStyle w:val="FootnoteReference"/>
          <w:rFonts w:cs="Times New Roman"/>
        </w:rPr>
        <w:footnoteRef/>
      </w:r>
      <w:r>
        <w:t xml:space="preserve"> </w:t>
      </w:r>
      <w:r>
        <w:tab/>
        <w:t>https://h2awsm.org/.</w:t>
      </w:r>
    </w:p>
  </w:footnote>
  <w:footnote w:id="20">
    <w:p w14:paraId="08413F0E" w14:textId="0DA9E25A" w:rsidR="00861EFC" w:rsidRDefault="00861EFC" w:rsidP="00DF59E6">
      <w:pPr>
        <w:pStyle w:val="FootnoteText"/>
      </w:pPr>
      <w:r>
        <w:rPr>
          <w:rStyle w:val="FootnoteReference"/>
          <w:rFonts w:cs="Times New Roman"/>
        </w:rPr>
        <w:footnoteRef/>
      </w:r>
      <w:r>
        <w:t xml:space="preserve"> </w:t>
      </w:r>
      <w:r>
        <w:tab/>
        <w:t>https://www.hymarc.org/.</w:t>
      </w:r>
    </w:p>
  </w:footnote>
  <w:footnote w:id="21">
    <w:p w14:paraId="4A1CC0CB" w14:textId="08DD36F6" w:rsidR="00861EFC" w:rsidRDefault="00861EFC" w:rsidP="00F60E25">
      <w:pPr>
        <w:pStyle w:val="FootnoteText"/>
      </w:pPr>
      <w:r>
        <w:rPr>
          <w:rStyle w:val="FootnoteReference"/>
          <w:rFonts w:cs="Times New Roman"/>
        </w:rPr>
        <w:footnoteRef/>
      </w:r>
      <w:r>
        <w:t xml:space="preserve"> </w:t>
      </w:r>
      <w:r>
        <w:tab/>
        <w:t>https://www.nrel.gov/news/program/2020/nrel-to-lead-new-lab-consortium-to-enable-low-cost-electrolyzers-for-hydrogen-production.html.</w:t>
      </w:r>
    </w:p>
  </w:footnote>
  <w:footnote w:id="22">
    <w:p w14:paraId="4C1D1B3D" w14:textId="53124876" w:rsidR="00861EFC" w:rsidRDefault="00861EFC" w:rsidP="00DF59E6">
      <w:pPr>
        <w:pStyle w:val="FootnoteText"/>
      </w:pPr>
      <w:r>
        <w:rPr>
          <w:rStyle w:val="FootnoteReference"/>
          <w:rFonts w:cs="Times New Roman"/>
        </w:rPr>
        <w:footnoteRef/>
      </w:r>
      <w:r>
        <w:t xml:space="preserve"> </w:t>
      </w:r>
      <w:r>
        <w:tab/>
      </w:r>
      <w:r w:rsidRPr="005B2053">
        <w:t>https://hydrogencouncil.com/en/</w:t>
      </w:r>
      <w:r>
        <w:t xml:space="preserve">.  </w:t>
      </w:r>
    </w:p>
  </w:footnote>
  <w:footnote w:id="23">
    <w:p w14:paraId="1C25380D" w14:textId="3885B538" w:rsidR="00861EFC" w:rsidRDefault="00861EFC" w:rsidP="00DF59E6">
      <w:pPr>
        <w:pStyle w:val="FootnoteText"/>
        <w:rPr>
          <w:rFonts w:cs="Times New Roman"/>
        </w:rPr>
      </w:pPr>
      <w:r>
        <w:rPr>
          <w:rStyle w:val="FootnoteReference"/>
        </w:rPr>
        <w:footnoteRef/>
      </w:r>
      <w:r>
        <w:t xml:space="preserve"> </w:t>
      </w:r>
      <w:r>
        <w:tab/>
      </w:r>
      <w:r w:rsidRPr="005B2053">
        <w:t>www.hydrogen.energy.gov/pdfs/2019-htac-annual-report.pdf</w:t>
      </w:r>
      <w:r w:rsidRPr="00165BD3">
        <w:rPr>
          <w:rStyle w:val="Hyperlink"/>
          <w:u w:val="none"/>
        </w:rPr>
        <w:t>.</w:t>
      </w:r>
    </w:p>
  </w:footnote>
  <w:footnote w:id="24">
    <w:p w14:paraId="7A9859CC" w14:textId="54550281" w:rsidR="00861EFC" w:rsidRDefault="00861EFC" w:rsidP="00DF59E6">
      <w:pPr>
        <w:pStyle w:val="FootnoteText"/>
        <w:rPr>
          <w:rFonts w:cs="Times New Roman"/>
        </w:rPr>
      </w:pPr>
      <w:r>
        <w:rPr>
          <w:rStyle w:val="FootnoteReference"/>
        </w:rPr>
        <w:footnoteRef/>
      </w:r>
      <w:r>
        <w:t xml:space="preserve"> </w:t>
      </w:r>
      <w:r>
        <w:tab/>
      </w:r>
      <w:r w:rsidRPr="005B2053">
        <w:t>https://ieefa.org/conversion-of-1800mw-intermountain-coal-plant-in-utah-to-840mw-gas-hydrogen-facility-moving-forward/</w:t>
      </w:r>
      <w:r w:rsidRPr="003F4717">
        <w:rPr>
          <w:rStyle w:val="Hyperlink"/>
          <w:u w:val="none"/>
        </w:rPr>
        <w:t>.</w:t>
      </w:r>
    </w:p>
  </w:footnote>
  <w:footnote w:id="25">
    <w:p w14:paraId="108D609C" w14:textId="31C8BA7C" w:rsidR="00861EFC" w:rsidRDefault="00861EFC" w:rsidP="00DF59E6">
      <w:pPr>
        <w:pStyle w:val="FootnoteText"/>
      </w:pPr>
      <w:r>
        <w:rPr>
          <w:rStyle w:val="FootnoteReference"/>
          <w:rFonts w:cs="Times New Roman"/>
        </w:rPr>
        <w:footnoteRef/>
      </w:r>
      <w:r>
        <w:t xml:space="preserve"> </w:t>
      </w:r>
      <w:r>
        <w:tab/>
        <w:t>https://www.longridgeenergy.com/about.</w:t>
      </w:r>
    </w:p>
  </w:footnote>
  <w:footnote w:id="26">
    <w:p w14:paraId="1AC0035C" w14:textId="1AEEA5A8" w:rsidR="00861EFC" w:rsidRDefault="00861EFC" w:rsidP="00DF59E6">
      <w:pPr>
        <w:pStyle w:val="FootnoteText"/>
      </w:pPr>
      <w:r>
        <w:rPr>
          <w:rStyle w:val="FootnoteReference"/>
          <w:rFonts w:cs="Times New Roman"/>
        </w:rPr>
        <w:footnoteRef/>
      </w:r>
      <w:r>
        <w:t xml:space="preserve"> </w:t>
      </w:r>
      <w:r>
        <w:tab/>
      </w:r>
      <w:r w:rsidRPr="00D37EB2">
        <w:t>https://power.mhi.com/regions/amer/news/20210119.html</w:t>
      </w:r>
      <w:r>
        <w:t>.</w:t>
      </w:r>
    </w:p>
  </w:footnote>
  <w:footnote w:id="27">
    <w:p w14:paraId="534DAD39" w14:textId="0931693D" w:rsidR="00861EFC" w:rsidRDefault="00861EFC" w:rsidP="00DF59E6">
      <w:pPr>
        <w:pStyle w:val="FootnoteText"/>
      </w:pPr>
      <w:r>
        <w:rPr>
          <w:rStyle w:val="FootnoteReference"/>
          <w:rFonts w:cs="Times New Roman"/>
        </w:rPr>
        <w:footnoteRef/>
      </w:r>
      <w:r>
        <w:t xml:space="preserve"> </w:t>
      </w:r>
      <w:r>
        <w:tab/>
        <w:t>https://www.powermag.com/mitsubishi-power-snags-hydrogen-integration-contracts-for-2-gw-of-new-gas-power/.</w:t>
      </w:r>
    </w:p>
  </w:footnote>
  <w:footnote w:id="28">
    <w:p w14:paraId="6AA1CE0E" w14:textId="77777777" w:rsidR="00DC541E" w:rsidRDefault="00DC541E" w:rsidP="00DC541E">
      <w:pPr>
        <w:pStyle w:val="FootnoteText"/>
      </w:pPr>
      <w:r>
        <w:rPr>
          <w:rStyle w:val="FootnoteReference"/>
        </w:rPr>
        <w:footnoteRef/>
      </w:r>
      <w:r>
        <w:t xml:space="preserve"> </w:t>
      </w:r>
      <w:r>
        <w:tab/>
      </w:r>
      <w:r w:rsidRPr="00F33A9C">
        <w:t>https://www.airliquide.com/sites/airliquide.com/files/2017/01/03/usa-air-liquide-operates-the_world-s-largest-hydrogen-storage-facility.pdf</w:t>
      </w:r>
    </w:p>
  </w:footnote>
  <w:footnote w:id="29">
    <w:p w14:paraId="392D6689" w14:textId="56C0F985" w:rsidR="009B1549" w:rsidRDefault="009B1549">
      <w:pPr>
        <w:pStyle w:val="FootnoteText"/>
      </w:pPr>
      <w:r>
        <w:rPr>
          <w:rStyle w:val="FootnoteReference"/>
        </w:rPr>
        <w:footnoteRef/>
      </w:r>
      <w:r>
        <w:t xml:space="preserve"> </w:t>
      </w:r>
      <w:r>
        <w:tab/>
      </w:r>
      <w:r w:rsidRPr="00901849">
        <w:t>https://www.lindeus.com/services/industrial-gas-supply-and-management/gas-pipelines</w:t>
      </w:r>
      <w:r>
        <w:t>.</w:t>
      </w:r>
    </w:p>
  </w:footnote>
  <w:footnote w:id="30">
    <w:p w14:paraId="6994B7B8" w14:textId="0E63F79C" w:rsidR="00A44334" w:rsidRDefault="00A44334" w:rsidP="00A44334">
      <w:pPr>
        <w:pStyle w:val="FootnoteText"/>
      </w:pPr>
      <w:r>
        <w:rPr>
          <w:rStyle w:val="FootnoteReference"/>
        </w:rPr>
        <w:footnoteRef/>
      </w:r>
      <w:r w:rsidR="00761462">
        <w:tab/>
      </w:r>
      <w:r w:rsidRPr="00EB7362">
        <w:t>https://www.powermag.com/shell-starts-up-10-mw-refhyne-hydrogen-electrolyzer-eyes-expansion-to-100-mw/</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1A99A" w14:textId="77777777" w:rsidR="00CF69BD" w:rsidRDefault="00CF69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13C49" w14:textId="4A09D6F3" w:rsidR="00861EFC" w:rsidRDefault="00861EFC">
    <w:pPr>
      <w:pStyle w:val="Header"/>
      <w:tabs>
        <w:tab w:val="clear" w:pos="4320"/>
        <w:tab w:val="clear" w:pos="8640"/>
        <w:tab w:val="right" w:pos="9000"/>
      </w:tabs>
    </w:pPr>
    <w:r>
      <w:t>Entergy Texas, Inc.</w:t>
    </w:r>
    <w:r>
      <w:tab/>
      <w:t xml:space="preserve">Page </w:t>
    </w:r>
    <w:r>
      <w:fldChar w:fldCharType="begin"/>
    </w:r>
    <w:r>
      <w:instrText xml:space="preserve"> PAGE   \* MERGEFORMAT </w:instrText>
    </w:r>
    <w:r>
      <w:fldChar w:fldCharType="separate"/>
    </w:r>
    <w:r w:rsidR="00CF69BD">
      <w:rPr>
        <w:noProof/>
      </w:rPr>
      <w:t>21</w:t>
    </w:r>
    <w:r>
      <w:rPr>
        <w:noProof/>
      </w:rPr>
      <w:fldChar w:fldCharType="end"/>
    </w:r>
    <w:r w:rsidRPr="004B5DA9">
      <w:t xml:space="preserve"> of </w:t>
    </w:r>
    <w:r>
      <w:rPr>
        <w:noProof/>
      </w:rPr>
      <w:fldChar w:fldCharType="begin"/>
    </w:r>
    <w:r>
      <w:rPr>
        <w:noProof/>
      </w:rPr>
      <w:instrText xml:space="preserve"> SECTIONPAGES   \* MERGEFORMAT </w:instrText>
    </w:r>
    <w:r>
      <w:rPr>
        <w:noProof/>
      </w:rPr>
      <w:fldChar w:fldCharType="separate"/>
    </w:r>
    <w:r w:rsidR="00CF69BD">
      <w:rPr>
        <w:noProof/>
      </w:rPr>
      <w:t>21</w:t>
    </w:r>
    <w:r>
      <w:rPr>
        <w:noProof/>
      </w:rPr>
      <w:fldChar w:fldCharType="end"/>
    </w:r>
  </w:p>
  <w:p w14:paraId="23C280DB" w14:textId="52F24991" w:rsidR="00861EFC" w:rsidRDefault="00861EFC">
    <w:pPr>
      <w:tabs>
        <w:tab w:val="left" w:pos="3600"/>
        <w:tab w:val="center" w:pos="5040"/>
        <w:tab w:val="right" w:pos="9000"/>
      </w:tabs>
      <w:rPr>
        <w:sz w:val="20"/>
        <w:szCs w:val="20"/>
      </w:rPr>
    </w:pPr>
    <w:r>
      <w:rPr>
        <w:sz w:val="20"/>
        <w:szCs w:val="20"/>
      </w:rPr>
      <w:t>Direct Testimony of Robert E. Hebner, Ph.D.</w:t>
    </w:r>
    <w:r>
      <w:rPr>
        <w:sz w:val="20"/>
        <w:szCs w:val="20"/>
      </w:rPr>
      <w:tab/>
    </w:r>
  </w:p>
  <w:p w14:paraId="7FFB0044" w14:textId="41C2C804" w:rsidR="00861EFC" w:rsidRDefault="00861EFC" w:rsidP="00B1020F">
    <w:pPr>
      <w:pStyle w:val="Header"/>
      <w:tabs>
        <w:tab w:val="clear" w:pos="4320"/>
        <w:tab w:val="clear" w:pos="8640"/>
        <w:tab w:val="center" w:pos="1890"/>
        <w:tab w:val="right" w:pos="9000"/>
      </w:tabs>
    </w:pPr>
    <w:r>
      <w:t>Docket No. 52487</w:t>
    </w:r>
  </w:p>
  <w:p w14:paraId="6C51D07C" w14:textId="77777777" w:rsidR="00861EFC" w:rsidRDefault="00861EFC" w:rsidP="00B1020F">
    <w:pPr>
      <w:pStyle w:val="Header"/>
      <w:tabs>
        <w:tab w:val="clear" w:pos="8640"/>
        <w:tab w:val="left" w:pos="1800"/>
        <w:tab w:val="center" w:pos="2880"/>
        <w:tab w:val="right" w:pos="9000"/>
      </w:tabs>
    </w:pPr>
  </w:p>
  <w:p w14:paraId="19B8215B" w14:textId="77777777" w:rsidR="00861EFC" w:rsidRDefault="00861EFC">
    <w:pPr>
      <w:pStyle w:val="Header"/>
      <w:tabs>
        <w:tab w:val="clear" w:pos="8640"/>
        <w:tab w:val="center" w:pos="2880"/>
        <w:tab w:val="right" w:pos="9000"/>
      </w:tabs>
      <w:rPr>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71089" w14:textId="77777777" w:rsidR="00CF69BD" w:rsidRDefault="00CF69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7422" w14:textId="77777777" w:rsidR="00861EFC" w:rsidRDefault="00861EFC">
    <w:pPr>
      <w:pStyle w:val="Header"/>
      <w:tabs>
        <w:tab w:val="clear" w:pos="8640"/>
        <w:tab w:val="center" w:pos="2880"/>
        <w:tab w:val="right" w:pos="9000"/>
      </w:tabs>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088EA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hybridMultilevel"/>
    <w:tmpl w:val="669E3628"/>
    <w:lvl w:ilvl="0" w:tplc="7D1E5994">
      <w:start w:val="1"/>
      <w:numFmt w:val="decimal"/>
      <w:pStyle w:val="ListNumber4"/>
      <w:lvlText w:val="%1."/>
      <w:lvlJc w:val="left"/>
      <w:pPr>
        <w:tabs>
          <w:tab w:val="num" w:pos="1440"/>
        </w:tabs>
        <w:ind w:left="1440" w:hanging="360"/>
      </w:pPr>
    </w:lvl>
    <w:lvl w:ilvl="1" w:tplc="F1A877EA">
      <w:numFmt w:val="decimal"/>
      <w:lvlText w:val=""/>
      <w:lvlJc w:val="left"/>
    </w:lvl>
    <w:lvl w:ilvl="2" w:tplc="E5B60938">
      <w:numFmt w:val="decimal"/>
      <w:lvlText w:val=""/>
      <w:lvlJc w:val="left"/>
    </w:lvl>
    <w:lvl w:ilvl="3" w:tplc="F8ACA282">
      <w:numFmt w:val="decimal"/>
      <w:lvlText w:val=""/>
      <w:lvlJc w:val="left"/>
    </w:lvl>
    <w:lvl w:ilvl="4" w:tplc="E5F232BA">
      <w:numFmt w:val="decimal"/>
      <w:lvlText w:val=""/>
      <w:lvlJc w:val="left"/>
    </w:lvl>
    <w:lvl w:ilvl="5" w:tplc="521A36CC">
      <w:numFmt w:val="decimal"/>
      <w:lvlText w:val=""/>
      <w:lvlJc w:val="left"/>
    </w:lvl>
    <w:lvl w:ilvl="6" w:tplc="BF5CA61C">
      <w:numFmt w:val="decimal"/>
      <w:lvlText w:val=""/>
      <w:lvlJc w:val="left"/>
    </w:lvl>
    <w:lvl w:ilvl="7" w:tplc="2A1A9AAA">
      <w:numFmt w:val="decimal"/>
      <w:lvlText w:val=""/>
      <w:lvlJc w:val="left"/>
    </w:lvl>
    <w:lvl w:ilvl="8" w:tplc="F8A693FA">
      <w:numFmt w:val="decimal"/>
      <w:lvlText w:val=""/>
      <w:lvlJc w:val="left"/>
    </w:lvl>
  </w:abstractNum>
  <w:abstractNum w:abstractNumId="2" w15:restartNumberingAfterBreak="0">
    <w:nsid w:val="FFFFFF7E"/>
    <w:multiLevelType w:val="hybridMultilevel"/>
    <w:tmpl w:val="E0A22400"/>
    <w:lvl w:ilvl="0" w:tplc="EE7CA0A8">
      <w:start w:val="1"/>
      <w:numFmt w:val="decimal"/>
      <w:pStyle w:val="ListNumber3"/>
      <w:lvlText w:val="%1."/>
      <w:lvlJc w:val="left"/>
      <w:pPr>
        <w:tabs>
          <w:tab w:val="num" w:pos="1080"/>
        </w:tabs>
        <w:ind w:left="1080" w:hanging="360"/>
      </w:pPr>
    </w:lvl>
    <w:lvl w:ilvl="1" w:tplc="DFBE2DC6">
      <w:numFmt w:val="decimal"/>
      <w:lvlText w:val=""/>
      <w:lvlJc w:val="left"/>
    </w:lvl>
    <w:lvl w:ilvl="2" w:tplc="5866B0AE">
      <w:numFmt w:val="decimal"/>
      <w:lvlText w:val=""/>
      <w:lvlJc w:val="left"/>
    </w:lvl>
    <w:lvl w:ilvl="3" w:tplc="9D381582">
      <w:numFmt w:val="decimal"/>
      <w:lvlText w:val=""/>
      <w:lvlJc w:val="left"/>
    </w:lvl>
    <w:lvl w:ilvl="4" w:tplc="8D4E7616">
      <w:numFmt w:val="decimal"/>
      <w:lvlText w:val=""/>
      <w:lvlJc w:val="left"/>
    </w:lvl>
    <w:lvl w:ilvl="5" w:tplc="900A373C">
      <w:numFmt w:val="decimal"/>
      <w:lvlText w:val=""/>
      <w:lvlJc w:val="left"/>
    </w:lvl>
    <w:lvl w:ilvl="6" w:tplc="4724B5AA">
      <w:numFmt w:val="decimal"/>
      <w:lvlText w:val=""/>
      <w:lvlJc w:val="left"/>
    </w:lvl>
    <w:lvl w:ilvl="7" w:tplc="C2468438">
      <w:numFmt w:val="decimal"/>
      <w:lvlText w:val=""/>
      <w:lvlJc w:val="left"/>
    </w:lvl>
    <w:lvl w:ilvl="8" w:tplc="CD0243AA">
      <w:numFmt w:val="decimal"/>
      <w:lvlText w:val=""/>
      <w:lvlJc w:val="left"/>
    </w:lvl>
  </w:abstractNum>
  <w:abstractNum w:abstractNumId="3" w15:restartNumberingAfterBreak="0">
    <w:nsid w:val="FFFFFF7F"/>
    <w:multiLevelType w:val="hybridMultilevel"/>
    <w:tmpl w:val="79D211D0"/>
    <w:lvl w:ilvl="0" w:tplc="267CE37E">
      <w:start w:val="1"/>
      <w:numFmt w:val="decimal"/>
      <w:pStyle w:val="ListNumber2"/>
      <w:lvlText w:val="%1."/>
      <w:lvlJc w:val="left"/>
      <w:pPr>
        <w:tabs>
          <w:tab w:val="num" w:pos="720"/>
        </w:tabs>
        <w:ind w:left="720" w:hanging="360"/>
      </w:pPr>
    </w:lvl>
    <w:lvl w:ilvl="1" w:tplc="DCC4C76E">
      <w:numFmt w:val="decimal"/>
      <w:lvlText w:val=""/>
      <w:lvlJc w:val="left"/>
    </w:lvl>
    <w:lvl w:ilvl="2" w:tplc="78C0BDCA">
      <w:numFmt w:val="decimal"/>
      <w:lvlText w:val=""/>
      <w:lvlJc w:val="left"/>
    </w:lvl>
    <w:lvl w:ilvl="3" w:tplc="949A7386">
      <w:numFmt w:val="decimal"/>
      <w:lvlText w:val=""/>
      <w:lvlJc w:val="left"/>
    </w:lvl>
    <w:lvl w:ilvl="4" w:tplc="63F65246">
      <w:numFmt w:val="decimal"/>
      <w:lvlText w:val=""/>
      <w:lvlJc w:val="left"/>
    </w:lvl>
    <w:lvl w:ilvl="5" w:tplc="A41AFC0A">
      <w:numFmt w:val="decimal"/>
      <w:lvlText w:val=""/>
      <w:lvlJc w:val="left"/>
    </w:lvl>
    <w:lvl w:ilvl="6" w:tplc="C08E970A">
      <w:numFmt w:val="decimal"/>
      <w:lvlText w:val=""/>
      <w:lvlJc w:val="left"/>
    </w:lvl>
    <w:lvl w:ilvl="7" w:tplc="F23EDAB0">
      <w:numFmt w:val="decimal"/>
      <w:lvlText w:val=""/>
      <w:lvlJc w:val="left"/>
    </w:lvl>
    <w:lvl w:ilvl="8" w:tplc="539CFAE0">
      <w:numFmt w:val="decimal"/>
      <w:lvlText w:val=""/>
      <w:lvlJc w:val="left"/>
    </w:lvl>
  </w:abstractNum>
  <w:abstractNum w:abstractNumId="4" w15:restartNumberingAfterBreak="0">
    <w:nsid w:val="FFFFFF80"/>
    <w:multiLevelType w:val="hybridMultilevel"/>
    <w:tmpl w:val="C43475AC"/>
    <w:lvl w:ilvl="0" w:tplc="5756170E">
      <w:start w:val="1"/>
      <w:numFmt w:val="bullet"/>
      <w:pStyle w:val="ListBullet5"/>
      <w:lvlText w:val=""/>
      <w:lvlJc w:val="left"/>
      <w:pPr>
        <w:tabs>
          <w:tab w:val="num" w:pos="1800"/>
        </w:tabs>
        <w:ind w:left="1800" w:hanging="360"/>
      </w:pPr>
      <w:rPr>
        <w:rFonts w:ascii="Symbol" w:hAnsi="Symbol" w:hint="default"/>
      </w:rPr>
    </w:lvl>
    <w:lvl w:ilvl="1" w:tplc="DEFAD736">
      <w:numFmt w:val="decimal"/>
      <w:lvlText w:val=""/>
      <w:lvlJc w:val="left"/>
    </w:lvl>
    <w:lvl w:ilvl="2" w:tplc="B27AA8EE">
      <w:numFmt w:val="decimal"/>
      <w:lvlText w:val=""/>
      <w:lvlJc w:val="left"/>
    </w:lvl>
    <w:lvl w:ilvl="3" w:tplc="3CFC044E">
      <w:numFmt w:val="decimal"/>
      <w:lvlText w:val=""/>
      <w:lvlJc w:val="left"/>
    </w:lvl>
    <w:lvl w:ilvl="4" w:tplc="91E68B32">
      <w:numFmt w:val="decimal"/>
      <w:lvlText w:val=""/>
      <w:lvlJc w:val="left"/>
    </w:lvl>
    <w:lvl w:ilvl="5" w:tplc="84367D02">
      <w:numFmt w:val="decimal"/>
      <w:lvlText w:val=""/>
      <w:lvlJc w:val="left"/>
    </w:lvl>
    <w:lvl w:ilvl="6" w:tplc="37E6DE36">
      <w:numFmt w:val="decimal"/>
      <w:lvlText w:val=""/>
      <w:lvlJc w:val="left"/>
    </w:lvl>
    <w:lvl w:ilvl="7" w:tplc="3820802A">
      <w:numFmt w:val="decimal"/>
      <w:lvlText w:val=""/>
      <w:lvlJc w:val="left"/>
    </w:lvl>
    <w:lvl w:ilvl="8" w:tplc="5C267466">
      <w:numFmt w:val="decimal"/>
      <w:lvlText w:val=""/>
      <w:lvlJc w:val="left"/>
    </w:lvl>
  </w:abstractNum>
  <w:abstractNum w:abstractNumId="5" w15:restartNumberingAfterBreak="0">
    <w:nsid w:val="FFFFFF81"/>
    <w:multiLevelType w:val="hybridMultilevel"/>
    <w:tmpl w:val="C8F01598"/>
    <w:lvl w:ilvl="0" w:tplc="E9DA0918">
      <w:start w:val="1"/>
      <w:numFmt w:val="bullet"/>
      <w:pStyle w:val="ListBullet4"/>
      <w:lvlText w:val=""/>
      <w:lvlJc w:val="left"/>
      <w:pPr>
        <w:tabs>
          <w:tab w:val="num" w:pos="1440"/>
        </w:tabs>
        <w:ind w:left="1440" w:hanging="360"/>
      </w:pPr>
      <w:rPr>
        <w:rFonts w:ascii="Symbol" w:hAnsi="Symbol" w:hint="default"/>
      </w:rPr>
    </w:lvl>
    <w:lvl w:ilvl="1" w:tplc="2C9A67F6">
      <w:numFmt w:val="decimal"/>
      <w:lvlText w:val=""/>
      <w:lvlJc w:val="left"/>
    </w:lvl>
    <w:lvl w:ilvl="2" w:tplc="A44461BE">
      <w:numFmt w:val="decimal"/>
      <w:lvlText w:val=""/>
      <w:lvlJc w:val="left"/>
    </w:lvl>
    <w:lvl w:ilvl="3" w:tplc="46CA21CC">
      <w:numFmt w:val="decimal"/>
      <w:lvlText w:val=""/>
      <w:lvlJc w:val="left"/>
    </w:lvl>
    <w:lvl w:ilvl="4" w:tplc="D24894A2">
      <w:numFmt w:val="decimal"/>
      <w:lvlText w:val=""/>
      <w:lvlJc w:val="left"/>
    </w:lvl>
    <w:lvl w:ilvl="5" w:tplc="954E369C">
      <w:numFmt w:val="decimal"/>
      <w:lvlText w:val=""/>
      <w:lvlJc w:val="left"/>
    </w:lvl>
    <w:lvl w:ilvl="6" w:tplc="599C534C">
      <w:numFmt w:val="decimal"/>
      <w:lvlText w:val=""/>
      <w:lvlJc w:val="left"/>
    </w:lvl>
    <w:lvl w:ilvl="7" w:tplc="E4762D8C">
      <w:numFmt w:val="decimal"/>
      <w:lvlText w:val=""/>
      <w:lvlJc w:val="left"/>
    </w:lvl>
    <w:lvl w:ilvl="8" w:tplc="CA12BD42">
      <w:numFmt w:val="decimal"/>
      <w:lvlText w:val=""/>
      <w:lvlJc w:val="left"/>
    </w:lvl>
  </w:abstractNum>
  <w:abstractNum w:abstractNumId="6" w15:restartNumberingAfterBreak="0">
    <w:nsid w:val="FFFFFF82"/>
    <w:multiLevelType w:val="hybridMultilevel"/>
    <w:tmpl w:val="1570C3B6"/>
    <w:lvl w:ilvl="0" w:tplc="1A02477A">
      <w:start w:val="1"/>
      <w:numFmt w:val="bullet"/>
      <w:pStyle w:val="ListBullet3"/>
      <w:lvlText w:val=""/>
      <w:lvlJc w:val="left"/>
      <w:pPr>
        <w:tabs>
          <w:tab w:val="num" w:pos="1080"/>
        </w:tabs>
        <w:ind w:left="1080" w:hanging="360"/>
      </w:pPr>
      <w:rPr>
        <w:rFonts w:ascii="Symbol" w:hAnsi="Symbol" w:hint="default"/>
      </w:rPr>
    </w:lvl>
    <w:lvl w:ilvl="1" w:tplc="9594D8E0">
      <w:numFmt w:val="decimal"/>
      <w:lvlText w:val=""/>
      <w:lvlJc w:val="left"/>
    </w:lvl>
    <w:lvl w:ilvl="2" w:tplc="CD10657A">
      <w:numFmt w:val="decimal"/>
      <w:lvlText w:val=""/>
      <w:lvlJc w:val="left"/>
    </w:lvl>
    <w:lvl w:ilvl="3" w:tplc="52E69296">
      <w:numFmt w:val="decimal"/>
      <w:lvlText w:val=""/>
      <w:lvlJc w:val="left"/>
    </w:lvl>
    <w:lvl w:ilvl="4" w:tplc="FEA80ED8">
      <w:numFmt w:val="decimal"/>
      <w:lvlText w:val=""/>
      <w:lvlJc w:val="left"/>
    </w:lvl>
    <w:lvl w:ilvl="5" w:tplc="EA229958">
      <w:numFmt w:val="decimal"/>
      <w:lvlText w:val=""/>
      <w:lvlJc w:val="left"/>
    </w:lvl>
    <w:lvl w:ilvl="6" w:tplc="5CE64020">
      <w:numFmt w:val="decimal"/>
      <w:lvlText w:val=""/>
      <w:lvlJc w:val="left"/>
    </w:lvl>
    <w:lvl w:ilvl="7" w:tplc="5B5C2A2A">
      <w:numFmt w:val="decimal"/>
      <w:lvlText w:val=""/>
      <w:lvlJc w:val="left"/>
    </w:lvl>
    <w:lvl w:ilvl="8" w:tplc="D690FA48">
      <w:numFmt w:val="decimal"/>
      <w:lvlText w:val=""/>
      <w:lvlJc w:val="left"/>
    </w:lvl>
  </w:abstractNum>
  <w:abstractNum w:abstractNumId="7" w15:restartNumberingAfterBreak="0">
    <w:nsid w:val="FFFFFF83"/>
    <w:multiLevelType w:val="hybridMultilevel"/>
    <w:tmpl w:val="AD365FBC"/>
    <w:lvl w:ilvl="0" w:tplc="DA92CB32">
      <w:start w:val="1"/>
      <w:numFmt w:val="bullet"/>
      <w:pStyle w:val="ListBullet2"/>
      <w:lvlText w:val=""/>
      <w:lvlJc w:val="left"/>
      <w:pPr>
        <w:tabs>
          <w:tab w:val="num" w:pos="720"/>
        </w:tabs>
        <w:ind w:left="720" w:hanging="360"/>
      </w:pPr>
      <w:rPr>
        <w:rFonts w:ascii="Symbol" w:hAnsi="Symbol" w:hint="default"/>
      </w:rPr>
    </w:lvl>
    <w:lvl w:ilvl="1" w:tplc="B3740110">
      <w:numFmt w:val="decimal"/>
      <w:lvlText w:val=""/>
      <w:lvlJc w:val="left"/>
    </w:lvl>
    <w:lvl w:ilvl="2" w:tplc="3CCA82D4">
      <w:numFmt w:val="decimal"/>
      <w:lvlText w:val=""/>
      <w:lvlJc w:val="left"/>
    </w:lvl>
    <w:lvl w:ilvl="3" w:tplc="74D47A56">
      <w:numFmt w:val="decimal"/>
      <w:lvlText w:val=""/>
      <w:lvlJc w:val="left"/>
    </w:lvl>
    <w:lvl w:ilvl="4" w:tplc="C228ED0C">
      <w:numFmt w:val="decimal"/>
      <w:lvlText w:val=""/>
      <w:lvlJc w:val="left"/>
    </w:lvl>
    <w:lvl w:ilvl="5" w:tplc="64405134">
      <w:numFmt w:val="decimal"/>
      <w:lvlText w:val=""/>
      <w:lvlJc w:val="left"/>
    </w:lvl>
    <w:lvl w:ilvl="6" w:tplc="C9264098">
      <w:numFmt w:val="decimal"/>
      <w:lvlText w:val=""/>
      <w:lvlJc w:val="left"/>
    </w:lvl>
    <w:lvl w:ilvl="7" w:tplc="726613E2">
      <w:numFmt w:val="decimal"/>
      <w:lvlText w:val=""/>
      <w:lvlJc w:val="left"/>
    </w:lvl>
    <w:lvl w:ilvl="8" w:tplc="3D8692A8">
      <w:numFmt w:val="decimal"/>
      <w:lvlText w:val=""/>
      <w:lvlJc w:val="left"/>
    </w:lvl>
  </w:abstractNum>
  <w:abstractNum w:abstractNumId="8" w15:restartNumberingAfterBreak="0">
    <w:nsid w:val="FFFFFF88"/>
    <w:multiLevelType w:val="hybridMultilevel"/>
    <w:tmpl w:val="D8388A06"/>
    <w:lvl w:ilvl="0" w:tplc="198434E6">
      <w:start w:val="1"/>
      <w:numFmt w:val="decimal"/>
      <w:pStyle w:val="ListNumber"/>
      <w:lvlText w:val="%1."/>
      <w:lvlJc w:val="left"/>
      <w:pPr>
        <w:tabs>
          <w:tab w:val="num" w:pos="360"/>
        </w:tabs>
        <w:ind w:left="360" w:hanging="360"/>
      </w:pPr>
    </w:lvl>
    <w:lvl w:ilvl="1" w:tplc="E75C7478">
      <w:numFmt w:val="decimal"/>
      <w:lvlText w:val=""/>
      <w:lvlJc w:val="left"/>
    </w:lvl>
    <w:lvl w:ilvl="2" w:tplc="830A7858">
      <w:numFmt w:val="decimal"/>
      <w:lvlText w:val=""/>
      <w:lvlJc w:val="left"/>
    </w:lvl>
    <w:lvl w:ilvl="3" w:tplc="4754EAC4">
      <w:numFmt w:val="decimal"/>
      <w:lvlText w:val=""/>
      <w:lvlJc w:val="left"/>
    </w:lvl>
    <w:lvl w:ilvl="4" w:tplc="24043470">
      <w:numFmt w:val="decimal"/>
      <w:lvlText w:val=""/>
      <w:lvlJc w:val="left"/>
    </w:lvl>
    <w:lvl w:ilvl="5" w:tplc="00DC6440">
      <w:numFmt w:val="decimal"/>
      <w:lvlText w:val=""/>
      <w:lvlJc w:val="left"/>
    </w:lvl>
    <w:lvl w:ilvl="6" w:tplc="542225D8">
      <w:numFmt w:val="decimal"/>
      <w:lvlText w:val=""/>
      <w:lvlJc w:val="left"/>
    </w:lvl>
    <w:lvl w:ilvl="7" w:tplc="13F053D0">
      <w:numFmt w:val="decimal"/>
      <w:lvlText w:val=""/>
      <w:lvlJc w:val="left"/>
    </w:lvl>
    <w:lvl w:ilvl="8" w:tplc="E9C6F42E">
      <w:numFmt w:val="decimal"/>
      <w:lvlText w:val=""/>
      <w:lvlJc w:val="left"/>
    </w:lvl>
  </w:abstractNum>
  <w:abstractNum w:abstractNumId="9" w15:restartNumberingAfterBreak="0">
    <w:nsid w:val="FFFFFF89"/>
    <w:multiLevelType w:val="hybridMultilevel"/>
    <w:tmpl w:val="9B24565E"/>
    <w:lvl w:ilvl="0" w:tplc="29E0009E">
      <w:start w:val="1"/>
      <w:numFmt w:val="bullet"/>
      <w:pStyle w:val="ListBullet"/>
      <w:lvlText w:val=""/>
      <w:lvlJc w:val="left"/>
      <w:pPr>
        <w:tabs>
          <w:tab w:val="num" w:pos="360"/>
        </w:tabs>
        <w:ind w:left="360" w:hanging="360"/>
      </w:pPr>
      <w:rPr>
        <w:rFonts w:ascii="Symbol" w:hAnsi="Symbol" w:hint="default"/>
      </w:rPr>
    </w:lvl>
    <w:lvl w:ilvl="1" w:tplc="16C4A5B6">
      <w:numFmt w:val="decimal"/>
      <w:lvlText w:val=""/>
      <w:lvlJc w:val="left"/>
    </w:lvl>
    <w:lvl w:ilvl="2" w:tplc="E7621B92">
      <w:numFmt w:val="decimal"/>
      <w:lvlText w:val=""/>
      <w:lvlJc w:val="left"/>
    </w:lvl>
    <w:lvl w:ilvl="3" w:tplc="FD902FEE">
      <w:numFmt w:val="decimal"/>
      <w:lvlText w:val=""/>
      <w:lvlJc w:val="left"/>
    </w:lvl>
    <w:lvl w:ilvl="4" w:tplc="1C0EAE16">
      <w:numFmt w:val="decimal"/>
      <w:lvlText w:val=""/>
      <w:lvlJc w:val="left"/>
    </w:lvl>
    <w:lvl w:ilvl="5" w:tplc="35740414">
      <w:numFmt w:val="decimal"/>
      <w:lvlText w:val=""/>
      <w:lvlJc w:val="left"/>
    </w:lvl>
    <w:lvl w:ilvl="6" w:tplc="AF608998">
      <w:numFmt w:val="decimal"/>
      <w:lvlText w:val=""/>
      <w:lvlJc w:val="left"/>
    </w:lvl>
    <w:lvl w:ilvl="7" w:tplc="F948C128">
      <w:numFmt w:val="decimal"/>
      <w:lvlText w:val=""/>
      <w:lvlJc w:val="left"/>
    </w:lvl>
    <w:lvl w:ilvl="8" w:tplc="BD4A4DF6">
      <w:numFmt w:val="decimal"/>
      <w:lvlText w:val=""/>
      <w:lvlJc w:val="left"/>
    </w:lvl>
  </w:abstractNum>
  <w:abstractNum w:abstractNumId="10" w15:restartNumberingAfterBreak="0">
    <w:nsid w:val="01751DE8"/>
    <w:multiLevelType w:val="hybridMultilevel"/>
    <w:tmpl w:val="E9BC57F8"/>
    <w:lvl w:ilvl="0" w:tplc="FFFFFFFF">
      <w:start w:val="1"/>
      <w:numFmt w:val="decimal"/>
      <w:pStyle w:val="Pub"/>
      <w:lvlText w:val="%1."/>
      <w:lvlJc w:val="left"/>
      <w:pPr>
        <w:tabs>
          <w:tab w:val="num" w:pos="1530"/>
        </w:tabs>
        <w:ind w:left="1530" w:hanging="360"/>
      </w:pPr>
      <w:rPr>
        <w:rFonts w:hint="default"/>
      </w:rPr>
    </w:lvl>
    <w:lvl w:ilvl="1" w:tplc="01FA0BAC">
      <w:start w:val="3"/>
      <w:numFmt w:val="decimal"/>
      <w:lvlText w:val="%2."/>
      <w:lvlJc w:val="left"/>
      <w:pPr>
        <w:tabs>
          <w:tab w:val="num" w:pos="1440"/>
        </w:tabs>
        <w:ind w:left="1440" w:hanging="72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02A352A7"/>
    <w:multiLevelType w:val="hybridMultilevel"/>
    <w:tmpl w:val="F08CBD6E"/>
    <w:lvl w:ilvl="0" w:tplc="9B0E0AB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307238"/>
    <w:multiLevelType w:val="hybridMultilevel"/>
    <w:tmpl w:val="415CB166"/>
    <w:lvl w:ilvl="0" w:tplc="B386A3D8">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350CD3"/>
    <w:multiLevelType w:val="hybridMultilevel"/>
    <w:tmpl w:val="9B06A9AE"/>
    <w:lvl w:ilvl="0" w:tplc="9B349FD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3F06EF"/>
    <w:multiLevelType w:val="hybridMultilevel"/>
    <w:tmpl w:val="71F42C28"/>
    <w:lvl w:ilvl="0" w:tplc="AEAEFFA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7E3437"/>
    <w:multiLevelType w:val="hybridMultilevel"/>
    <w:tmpl w:val="A6F23F22"/>
    <w:lvl w:ilvl="0" w:tplc="4308E7D0">
      <w:start w:val="1"/>
      <w:numFmt w:val="bullet"/>
      <w:lvlText w:val=""/>
      <w:lvlJc w:val="left"/>
      <w:pPr>
        <w:ind w:left="720" w:hanging="360"/>
      </w:pPr>
      <w:rPr>
        <w:rFonts w:ascii="Symbol" w:hAnsi="Symbol" w:hint="default"/>
      </w:rPr>
    </w:lvl>
    <w:lvl w:ilvl="1" w:tplc="942E2662" w:tentative="1">
      <w:start w:val="1"/>
      <w:numFmt w:val="bullet"/>
      <w:lvlText w:val="o"/>
      <w:lvlJc w:val="left"/>
      <w:pPr>
        <w:ind w:left="1440" w:hanging="360"/>
      </w:pPr>
      <w:rPr>
        <w:rFonts w:ascii="Courier New" w:hAnsi="Courier New" w:cs="Courier New" w:hint="default"/>
      </w:rPr>
    </w:lvl>
    <w:lvl w:ilvl="2" w:tplc="C644962C" w:tentative="1">
      <w:start w:val="1"/>
      <w:numFmt w:val="bullet"/>
      <w:lvlText w:val=""/>
      <w:lvlJc w:val="left"/>
      <w:pPr>
        <w:ind w:left="2160" w:hanging="360"/>
      </w:pPr>
      <w:rPr>
        <w:rFonts w:ascii="Wingdings" w:hAnsi="Wingdings" w:hint="default"/>
      </w:rPr>
    </w:lvl>
    <w:lvl w:ilvl="3" w:tplc="B000831C" w:tentative="1">
      <w:start w:val="1"/>
      <w:numFmt w:val="bullet"/>
      <w:lvlText w:val=""/>
      <w:lvlJc w:val="left"/>
      <w:pPr>
        <w:ind w:left="2880" w:hanging="360"/>
      </w:pPr>
      <w:rPr>
        <w:rFonts w:ascii="Symbol" w:hAnsi="Symbol" w:hint="default"/>
      </w:rPr>
    </w:lvl>
    <w:lvl w:ilvl="4" w:tplc="307C63EC" w:tentative="1">
      <w:start w:val="1"/>
      <w:numFmt w:val="bullet"/>
      <w:lvlText w:val="o"/>
      <w:lvlJc w:val="left"/>
      <w:pPr>
        <w:ind w:left="3600" w:hanging="360"/>
      </w:pPr>
      <w:rPr>
        <w:rFonts w:ascii="Courier New" w:hAnsi="Courier New" w:cs="Courier New" w:hint="default"/>
      </w:rPr>
    </w:lvl>
    <w:lvl w:ilvl="5" w:tplc="ECBA2D0E" w:tentative="1">
      <w:start w:val="1"/>
      <w:numFmt w:val="bullet"/>
      <w:lvlText w:val=""/>
      <w:lvlJc w:val="left"/>
      <w:pPr>
        <w:ind w:left="4320" w:hanging="360"/>
      </w:pPr>
      <w:rPr>
        <w:rFonts w:ascii="Wingdings" w:hAnsi="Wingdings" w:hint="default"/>
      </w:rPr>
    </w:lvl>
    <w:lvl w:ilvl="6" w:tplc="B85C1386" w:tentative="1">
      <w:start w:val="1"/>
      <w:numFmt w:val="bullet"/>
      <w:lvlText w:val=""/>
      <w:lvlJc w:val="left"/>
      <w:pPr>
        <w:ind w:left="5040" w:hanging="360"/>
      </w:pPr>
      <w:rPr>
        <w:rFonts w:ascii="Symbol" w:hAnsi="Symbol" w:hint="default"/>
      </w:rPr>
    </w:lvl>
    <w:lvl w:ilvl="7" w:tplc="5484C060" w:tentative="1">
      <w:start w:val="1"/>
      <w:numFmt w:val="bullet"/>
      <w:lvlText w:val="o"/>
      <w:lvlJc w:val="left"/>
      <w:pPr>
        <w:ind w:left="5760" w:hanging="360"/>
      </w:pPr>
      <w:rPr>
        <w:rFonts w:ascii="Courier New" w:hAnsi="Courier New" w:cs="Courier New" w:hint="default"/>
      </w:rPr>
    </w:lvl>
    <w:lvl w:ilvl="8" w:tplc="B3EE6838" w:tentative="1">
      <w:start w:val="1"/>
      <w:numFmt w:val="bullet"/>
      <w:lvlText w:val=""/>
      <w:lvlJc w:val="left"/>
      <w:pPr>
        <w:ind w:left="6480" w:hanging="360"/>
      </w:pPr>
      <w:rPr>
        <w:rFonts w:ascii="Wingdings" w:hAnsi="Wingdings" w:hint="default"/>
      </w:rPr>
    </w:lvl>
  </w:abstractNum>
  <w:abstractNum w:abstractNumId="16" w15:restartNumberingAfterBreak="0">
    <w:nsid w:val="0E9B77E4"/>
    <w:multiLevelType w:val="hybridMultilevel"/>
    <w:tmpl w:val="C7A0CECA"/>
    <w:lvl w:ilvl="0" w:tplc="5276FF3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DB15EE"/>
    <w:multiLevelType w:val="hybridMultilevel"/>
    <w:tmpl w:val="CD0837A4"/>
    <w:lvl w:ilvl="0" w:tplc="6412648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AE07BC"/>
    <w:multiLevelType w:val="hybridMultilevel"/>
    <w:tmpl w:val="FC34F98A"/>
    <w:lvl w:ilvl="0" w:tplc="2A52E4CE">
      <w:start w:val="1"/>
      <w:numFmt w:val="upperLetter"/>
      <w:lvlText w:val="%1."/>
      <w:lvlJc w:val="left"/>
      <w:pPr>
        <w:ind w:left="720" w:hanging="360"/>
      </w:pPr>
      <w:rPr>
        <w:rFonts w:hint="default"/>
      </w:rPr>
    </w:lvl>
    <w:lvl w:ilvl="1" w:tplc="4ABA2302" w:tentative="1">
      <w:start w:val="1"/>
      <w:numFmt w:val="lowerLetter"/>
      <w:lvlText w:val="%2."/>
      <w:lvlJc w:val="left"/>
      <w:pPr>
        <w:ind w:left="1440" w:hanging="360"/>
      </w:pPr>
    </w:lvl>
    <w:lvl w:ilvl="2" w:tplc="8E968894" w:tentative="1">
      <w:start w:val="1"/>
      <w:numFmt w:val="lowerRoman"/>
      <w:lvlText w:val="%3."/>
      <w:lvlJc w:val="right"/>
      <w:pPr>
        <w:ind w:left="2160" w:hanging="180"/>
      </w:pPr>
    </w:lvl>
    <w:lvl w:ilvl="3" w:tplc="000E8388" w:tentative="1">
      <w:start w:val="1"/>
      <w:numFmt w:val="decimal"/>
      <w:lvlText w:val="%4."/>
      <w:lvlJc w:val="left"/>
      <w:pPr>
        <w:ind w:left="2880" w:hanging="360"/>
      </w:pPr>
    </w:lvl>
    <w:lvl w:ilvl="4" w:tplc="9ACCF45E" w:tentative="1">
      <w:start w:val="1"/>
      <w:numFmt w:val="lowerLetter"/>
      <w:lvlText w:val="%5."/>
      <w:lvlJc w:val="left"/>
      <w:pPr>
        <w:ind w:left="3600" w:hanging="360"/>
      </w:pPr>
    </w:lvl>
    <w:lvl w:ilvl="5" w:tplc="7390E5C6" w:tentative="1">
      <w:start w:val="1"/>
      <w:numFmt w:val="lowerRoman"/>
      <w:lvlText w:val="%6."/>
      <w:lvlJc w:val="right"/>
      <w:pPr>
        <w:ind w:left="4320" w:hanging="180"/>
      </w:pPr>
    </w:lvl>
    <w:lvl w:ilvl="6" w:tplc="8AC40D60" w:tentative="1">
      <w:start w:val="1"/>
      <w:numFmt w:val="decimal"/>
      <w:lvlText w:val="%7."/>
      <w:lvlJc w:val="left"/>
      <w:pPr>
        <w:ind w:left="5040" w:hanging="360"/>
      </w:pPr>
    </w:lvl>
    <w:lvl w:ilvl="7" w:tplc="612A099A" w:tentative="1">
      <w:start w:val="1"/>
      <w:numFmt w:val="lowerLetter"/>
      <w:lvlText w:val="%8."/>
      <w:lvlJc w:val="left"/>
      <w:pPr>
        <w:ind w:left="5760" w:hanging="360"/>
      </w:pPr>
    </w:lvl>
    <w:lvl w:ilvl="8" w:tplc="9F2E25DA" w:tentative="1">
      <w:start w:val="1"/>
      <w:numFmt w:val="lowerRoman"/>
      <w:lvlText w:val="%9."/>
      <w:lvlJc w:val="right"/>
      <w:pPr>
        <w:ind w:left="6480" w:hanging="180"/>
      </w:pPr>
    </w:lvl>
  </w:abstractNum>
  <w:abstractNum w:abstractNumId="19" w15:restartNumberingAfterBreak="0">
    <w:nsid w:val="118B4018"/>
    <w:multiLevelType w:val="hybridMultilevel"/>
    <w:tmpl w:val="5FBAEA58"/>
    <w:lvl w:ilvl="0" w:tplc="D50A5E38">
      <w:start w:val="1"/>
      <w:numFmt w:val="upperLetter"/>
      <w:lvlText w:val="%1."/>
      <w:lvlJc w:val="left"/>
      <w:pPr>
        <w:ind w:left="720" w:hanging="360"/>
      </w:pPr>
      <w:rPr>
        <w:rFonts w:hint="default"/>
      </w:rPr>
    </w:lvl>
    <w:lvl w:ilvl="1" w:tplc="EC08AD30" w:tentative="1">
      <w:start w:val="1"/>
      <w:numFmt w:val="lowerLetter"/>
      <w:lvlText w:val="%2."/>
      <w:lvlJc w:val="left"/>
      <w:pPr>
        <w:ind w:left="1440" w:hanging="360"/>
      </w:pPr>
    </w:lvl>
    <w:lvl w:ilvl="2" w:tplc="817AAE1C" w:tentative="1">
      <w:start w:val="1"/>
      <w:numFmt w:val="lowerRoman"/>
      <w:lvlText w:val="%3."/>
      <w:lvlJc w:val="right"/>
      <w:pPr>
        <w:ind w:left="2160" w:hanging="180"/>
      </w:pPr>
    </w:lvl>
    <w:lvl w:ilvl="3" w:tplc="139E1098" w:tentative="1">
      <w:start w:val="1"/>
      <w:numFmt w:val="decimal"/>
      <w:lvlText w:val="%4."/>
      <w:lvlJc w:val="left"/>
      <w:pPr>
        <w:ind w:left="2880" w:hanging="360"/>
      </w:pPr>
    </w:lvl>
    <w:lvl w:ilvl="4" w:tplc="FA4CE626" w:tentative="1">
      <w:start w:val="1"/>
      <w:numFmt w:val="lowerLetter"/>
      <w:lvlText w:val="%5."/>
      <w:lvlJc w:val="left"/>
      <w:pPr>
        <w:ind w:left="3600" w:hanging="360"/>
      </w:pPr>
    </w:lvl>
    <w:lvl w:ilvl="5" w:tplc="C6B82024" w:tentative="1">
      <w:start w:val="1"/>
      <w:numFmt w:val="lowerRoman"/>
      <w:lvlText w:val="%6."/>
      <w:lvlJc w:val="right"/>
      <w:pPr>
        <w:ind w:left="4320" w:hanging="180"/>
      </w:pPr>
    </w:lvl>
    <w:lvl w:ilvl="6" w:tplc="8BD0423E" w:tentative="1">
      <w:start w:val="1"/>
      <w:numFmt w:val="decimal"/>
      <w:lvlText w:val="%7."/>
      <w:lvlJc w:val="left"/>
      <w:pPr>
        <w:ind w:left="5040" w:hanging="360"/>
      </w:pPr>
    </w:lvl>
    <w:lvl w:ilvl="7" w:tplc="CACC6D8C" w:tentative="1">
      <w:start w:val="1"/>
      <w:numFmt w:val="lowerLetter"/>
      <w:lvlText w:val="%8."/>
      <w:lvlJc w:val="left"/>
      <w:pPr>
        <w:ind w:left="5760" w:hanging="360"/>
      </w:pPr>
    </w:lvl>
    <w:lvl w:ilvl="8" w:tplc="2E640ECA" w:tentative="1">
      <w:start w:val="1"/>
      <w:numFmt w:val="lowerRoman"/>
      <w:lvlText w:val="%9."/>
      <w:lvlJc w:val="right"/>
      <w:pPr>
        <w:ind w:left="6480" w:hanging="180"/>
      </w:pPr>
    </w:lvl>
  </w:abstractNum>
  <w:abstractNum w:abstractNumId="20" w15:restartNumberingAfterBreak="0">
    <w:nsid w:val="121E4537"/>
    <w:multiLevelType w:val="hybridMultilevel"/>
    <w:tmpl w:val="ED8EE1BA"/>
    <w:lvl w:ilvl="0" w:tplc="6722EFD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3380276"/>
    <w:multiLevelType w:val="multilevel"/>
    <w:tmpl w:val="3BEAD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D6977A9"/>
    <w:multiLevelType w:val="hybridMultilevel"/>
    <w:tmpl w:val="96B6309A"/>
    <w:lvl w:ilvl="0" w:tplc="FF8AF10C">
      <w:start w:val="4"/>
      <w:numFmt w:val="upperLetter"/>
      <w:pStyle w:val="Heading8"/>
      <w:lvlText w:val="%1."/>
      <w:lvlJc w:val="left"/>
      <w:pPr>
        <w:tabs>
          <w:tab w:val="num" w:pos="360"/>
        </w:tabs>
        <w:ind w:left="360" w:hanging="360"/>
      </w:pPr>
      <w:rPr>
        <w:rFonts w:cs="Times New Roman" w:hint="default"/>
      </w:rPr>
    </w:lvl>
    <w:lvl w:ilvl="1" w:tplc="E9B8CA2A">
      <w:numFmt w:val="decimal"/>
      <w:lvlText w:val=""/>
      <w:lvlJc w:val="left"/>
    </w:lvl>
    <w:lvl w:ilvl="2" w:tplc="38E048F4">
      <w:numFmt w:val="decimal"/>
      <w:lvlText w:val=""/>
      <w:lvlJc w:val="left"/>
    </w:lvl>
    <w:lvl w:ilvl="3" w:tplc="367A3496">
      <w:numFmt w:val="decimal"/>
      <w:lvlText w:val=""/>
      <w:lvlJc w:val="left"/>
    </w:lvl>
    <w:lvl w:ilvl="4" w:tplc="CC9C10B0">
      <w:numFmt w:val="decimal"/>
      <w:lvlText w:val=""/>
      <w:lvlJc w:val="left"/>
    </w:lvl>
    <w:lvl w:ilvl="5" w:tplc="951E483C">
      <w:numFmt w:val="decimal"/>
      <w:lvlText w:val=""/>
      <w:lvlJc w:val="left"/>
    </w:lvl>
    <w:lvl w:ilvl="6" w:tplc="7E0E7278">
      <w:numFmt w:val="decimal"/>
      <w:lvlText w:val=""/>
      <w:lvlJc w:val="left"/>
    </w:lvl>
    <w:lvl w:ilvl="7" w:tplc="BF34B4EC">
      <w:numFmt w:val="decimal"/>
      <w:lvlText w:val=""/>
      <w:lvlJc w:val="left"/>
    </w:lvl>
    <w:lvl w:ilvl="8" w:tplc="3C62F3B2">
      <w:numFmt w:val="decimal"/>
      <w:lvlText w:val=""/>
      <w:lvlJc w:val="left"/>
    </w:lvl>
  </w:abstractNum>
  <w:abstractNum w:abstractNumId="23" w15:restartNumberingAfterBreak="0">
    <w:nsid w:val="264E29AC"/>
    <w:multiLevelType w:val="hybridMultilevel"/>
    <w:tmpl w:val="DFD0E548"/>
    <w:lvl w:ilvl="0" w:tplc="9CEEF30C">
      <w:start w:val="1"/>
      <w:numFmt w:val="upperRoman"/>
      <w:pStyle w:val="Heading1"/>
      <w:lvlText w:val="%1."/>
      <w:lvlJc w:val="left"/>
      <w:pPr>
        <w:tabs>
          <w:tab w:val="num" w:pos="4140"/>
        </w:tabs>
        <w:ind w:left="4140" w:hanging="720"/>
      </w:pPr>
      <w:rPr>
        <w:rFonts w:ascii="Times New Roman Bold" w:hAnsi="Times New Roman Bold" w:cs="Times New Roman" w:hint="default"/>
        <w:b/>
        <w:i w:val="0"/>
        <w:sz w:val="24"/>
        <w:szCs w:val="24"/>
      </w:rPr>
    </w:lvl>
    <w:lvl w:ilvl="1" w:tplc="23F6F13E">
      <w:start w:val="1"/>
      <w:numFmt w:val="decimal"/>
      <w:lvlText w:val="(%2)"/>
      <w:lvlJc w:val="left"/>
      <w:pPr>
        <w:tabs>
          <w:tab w:val="num" w:pos="1440"/>
        </w:tabs>
        <w:ind w:left="1440" w:hanging="360"/>
      </w:pPr>
      <w:rPr>
        <w:rFonts w:hint="default"/>
      </w:rPr>
    </w:lvl>
    <w:lvl w:ilvl="2" w:tplc="A1DAB61A">
      <w:start w:val="1"/>
      <w:numFmt w:val="upperLetter"/>
      <w:lvlText w:val="%3."/>
      <w:lvlJc w:val="left"/>
      <w:pPr>
        <w:ind w:left="720" w:hanging="720"/>
      </w:pPr>
      <w:rPr>
        <w:rFonts w:ascii="Times New Roman" w:eastAsia="Times New Roman" w:hAnsi="Times New Roman" w:cs="Times New Roman"/>
      </w:rPr>
    </w:lvl>
    <w:lvl w:ilvl="3" w:tplc="04090001">
      <w:start w:val="1"/>
      <w:numFmt w:val="bullet"/>
      <w:lvlText w:val=""/>
      <w:lvlJc w:val="left"/>
      <w:pPr>
        <w:ind w:left="3060" w:hanging="360"/>
      </w:pPr>
      <w:rPr>
        <w:rFonts w:ascii="Symbol" w:hAnsi="Symbol" w:hint="default"/>
      </w:rPr>
    </w:lvl>
    <w:lvl w:ilvl="4" w:tplc="7BF87252" w:tentative="1">
      <w:start w:val="1"/>
      <w:numFmt w:val="lowerLetter"/>
      <w:lvlText w:val="%5."/>
      <w:lvlJc w:val="left"/>
      <w:pPr>
        <w:tabs>
          <w:tab w:val="num" w:pos="3600"/>
        </w:tabs>
        <w:ind w:left="3600" w:hanging="360"/>
      </w:pPr>
    </w:lvl>
    <w:lvl w:ilvl="5" w:tplc="49B889AC" w:tentative="1">
      <w:start w:val="1"/>
      <w:numFmt w:val="lowerRoman"/>
      <w:lvlText w:val="%6."/>
      <w:lvlJc w:val="right"/>
      <w:pPr>
        <w:tabs>
          <w:tab w:val="num" w:pos="4320"/>
        </w:tabs>
        <w:ind w:left="4320" w:hanging="180"/>
      </w:pPr>
    </w:lvl>
    <w:lvl w:ilvl="6" w:tplc="EE82B6A2" w:tentative="1">
      <w:start w:val="1"/>
      <w:numFmt w:val="decimal"/>
      <w:lvlText w:val="%7."/>
      <w:lvlJc w:val="left"/>
      <w:pPr>
        <w:tabs>
          <w:tab w:val="num" w:pos="5040"/>
        </w:tabs>
        <w:ind w:left="5040" w:hanging="360"/>
      </w:pPr>
    </w:lvl>
    <w:lvl w:ilvl="7" w:tplc="EAD0BAB2" w:tentative="1">
      <w:start w:val="1"/>
      <w:numFmt w:val="lowerLetter"/>
      <w:lvlText w:val="%8."/>
      <w:lvlJc w:val="left"/>
      <w:pPr>
        <w:tabs>
          <w:tab w:val="num" w:pos="5760"/>
        </w:tabs>
        <w:ind w:left="5760" w:hanging="360"/>
      </w:pPr>
    </w:lvl>
    <w:lvl w:ilvl="8" w:tplc="D706928A" w:tentative="1">
      <w:start w:val="1"/>
      <w:numFmt w:val="lowerRoman"/>
      <w:lvlText w:val="%9."/>
      <w:lvlJc w:val="right"/>
      <w:pPr>
        <w:tabs>
          <w:tab w:val="num" w:pos="6480"/>
        </w:tabs>
        <w:ind w:left="6480" w:hanging="180"/>
      </w:pPr>
    </w:lvl>
  </w:abstractNum>
  <w:abstractNum w:abstractNumId="24" w15:restartNumberingAfterBreak="0">
    <w:nsid w:val="2934682A"/>
    <w:multiLevelType w:val="hybridMultilevel"/>
    <w:tmpl w:val="EE92E19E"/>
    <w:lvl w:ilvl="0" w:tplc="1082AE60">
      <w:start w:val="1"/>
      <w:numFmt w:val="upperLetter"/>
      <w:pStyle w:val="Heading2"/>
      <w:lvlText w:val="%1."/>
      <w:lvlJc w:val="left"/>
      <w:pPr>
        <w:ind w:left="3600" w:hanging="360"/>
      </w:pPr>
    </w:lvl>
    <w:lvl w:ilvl="1" w:tplc="32E85D34">
      <w:start w:val="1"/>
      <w:numFmt w:val="lowerLetter"/>
      <w:lvlText w:val="%2."/>
      <w:lvlJc w:val="left"/>
      <w:pPr>
        <w:ind w:left="1440" w:hanging="360"/>
      </w:pPr>
    </w:lvl>
    <w:lvl w:ilvl="2" w:tplc="0E94AC30" w:tentative="1">
      <w:start w:val="1"/>
      <w:numFmt w:val="lowerRoman"/>
      <w:lvlText w:val="%3."/>
      <w:lvlJc w:val="right"/>
      <w:pPr>
        <w:ind w:left="2160" w:hanging="180"/>
      </w:pPr>
    </w:lvl>
    <w:lvl w:ilvl="3" w:tplc="4A90DF00" w:tentative="1">
      <w:start w:val="1"/>
      <w:numFmt w:val="decimal"/>
      <w:lvlText w:val="%4."/>
      <w:lvlJc w:val="left"/>
      <w:pPr>
        <w:ind w:left="2880" w:hanging="360"/>
      </w:pPr>
    </w:lvl>
    <w:lvl w:ilvl="4" w:tplc="7E1CA0A2" w:tentative="1">
      <w:start w:val="1"/>
      <w:numFmt w:val="lowerLetter"/>
      <w:lvlText w:val="%5."/>
      <w:lvlJc w:val="left"/>
      <w:pPr>
        <w:ind w:left="3600" w:hanging="360"/>
      </w:pPr>
    </w:lvl>
    <w:lvl w:ilvl="5" w:tplc="F8E632FA" w:tentative="1">
      <w:start w:val="1"/>
      <w:numFmt w:val="lowerRoman"/>
      <w:lvlText w:val="%6."/>
      <w:lvlJc w:val="right"/>
      <w:pPr>
        <w:ind w:left="4320" w:hanging="180"/>
      </w:pPr>
    </w:lvl>
    <w:lvl w:ilvl="6" w:tplc="0054F90C" w:tentative="1">
      <w:start w:val="1"/>
      <w:numFmt w:val="decimal"/>
      <w:lvlText w:val="%7."/>
      <w:lvlJc w:val="left"/>
      <w:pPr>
        <w:ind w:left="5040" w:hanging="360"/>
      </w:pPr>
    </w:lvl>
    <w:lvl w:ilvl="7" w:tplc="CAF0D262" w:tentative="1">
      <w:start w:val="1"/>
      <w:numFmt w:val="lowerLetter"/>
      <w:lvlText w:val="%8."/>
      <w:lvlJc w:val="left"/>
      <w:pPr>
        <w:ind w:left="5760" w:hanging="360"/>
      </w:pPr>
    </w:lvl>
    <w:lvl w:ilvl="8" w:tplc="74C05674" w:tentative="1">
      <w:start w:val="1"/>
      <w:numFmt w:val="lowerRoman"/>
      <w:lvlText w:val="%9."/>
      <w:lvlJc w:val="right"/>
      <w:pPr>
        <w:ind w:left="6480" w:hanging="180"/>
      </w:pPr>
    </w:lvl>
  </w:abstractNum>
  <w:abstractNum w:abstractNumId="25" w15:restartNumberingAfterBreak="0">
    <w:nsid w:val="2D9A2686"/>
    <w:multiLevelType w:val="hybridMultilevel"/>
    <w:tmpl w:val="746842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1B74B4"/>
    <w:multiLevelType w:val="hybridMultilevel"/>
    <w:tmpl w:val="E6307BAE"/>
    <w:lvl w:ilvl="0" w:tplc="B386A3D8">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BB75F6"/>
    <w:multiLevelType w:val="hybridMultilevel"/>
    <w:tmpl w:val="7382A478"/>
    <w:lvl w:ilvl="0" w:tplc="1C58BF92">
      <w:start w:val="1"/>
      <w:numFmt w:val="bullet"/>
      <w:lvlText w:val=""/>
      <w:lvlJc w:val="left"/>
      <w:pPr>
        <w:ind w:left="720" w:hanging="360"/>
      </w:pPr>
      <w:rPr>
        <w:rFonts w:ascii="Symbol" w:hAnsi="Symbol" w:hint="default"/>
      </w:rPr>
    </w:lvl>
    <w:lvl w:ilvl="1" w:tplc="E97A8FB4">
      <w:start w:val="1"/>
      <w:numFmt w:val="bullet"/>
      <w:lvlText w:val="o"/>
      <w:lvlJc w:val="left"/>
      <w:pPr>
        <w:ind w:left="1440" w:hanging="360"/>
      </w:pPr>
      <w:rPr>
        <w:rFonts w:ascii="Courier New" w:hAnsi="Courier New" w:cs="Courier New" w:hint="default"/>
      </w:rPr>
    </w:lvl>
    <w:lvl w:ilvl="2" w:tplc="7A28B45A" w:tentative="1">
      <w:start w:val="1"/>
      <w:numFmt w:val="bullet"/>
      <w:lvlText w:val=""/>
      <w:lvlJc w:val="left"/>
      <w:pPr>
        <w:ind w:left="2160" w:hanging="360"/>
      </w:pPr>
      <w:rPr>
        <w:rFonts w:ascii="Wingdings" w:hAnsi="Wingdings" w:hint="default"/>
      </w:rPr>
    </w:lvl>
    <w:lvl w:ilvl="3" w:tplc="5EFA1354" w:tentative="1">
      <w:start w:val="1"/>
      <w:numFmt w:val="bullet"/>
      <w:lvlText w:val=""/>
      <w:lvlJc w:val="left"/>
      <w:pPr>
        <w:ind w:left="2880" w:hanging="360"/>
      </w:pPr>
      <w:rPr>
        <w:rFonts w:ascii="Symbol" w:hAnsi="Symbol" w:hint="default"/>
      </w:rPr>
    </w:lvl>
    <w:lvl w:ilvl="4" w:tplc="C270DC70" w:tentative="1">
      <w:start w:val="1"/>
      <w:numFmt w:val="bullet"/>
      <w:lvlText w:val="o"/>
      <w:lvlJc w:val="left"/>
      <w:pPr>
        <w:ind w:left="3600" w:hanging="360"/>
      </w:pPr>
      <w:rPr>
        <w:rFonts w:ascii="Courier New" w:hAnsi="Courier New" w:cs="Courier New" w:hint="default"/>
      </w:rPr>
    </w:lvl>
    <w:lvl w:ilvl="5" w:tplc="56CE9EB4" w:tentative="1">
      <w:start w:val="1"/>
      <w:numFmt w:val="bullet"/>
      <w:lvlText w:val=""/>
      <w:lvlJc w:val="left"/>
      <w:pPr>
        <w:ind w:left="4320" w:hanging="360"/>
      </w:pPr>
      <w:rPr>
        <w:rFonts w:ascii="Wingdings" w:hAnsi="Wingdings" w:hint="default"/>
      </w:rPr>
    </w:lvl>
    <w:lvl w:ilvl="6" w:tplc="F906EB20" w:tentative="1">
      <w:start w:val="1"/>
      <w:numFmt w:val="bullet"/>
      <w:lvlText w:val=""/>
      <w:lvlJc w:val="left"/>
      <w:pPr>
        <w:ind w:left="5040" w:hanging="360"/>
      </w:pPr>
      <w:rPr>
        <w:rFonts w:ascii="Symbol" w:hAnsi="Symbol" w:hint="default"/>
      </w:rPr>
    </w:lvl>
    <w:lvl w:ilvl="7" w:tplc="D696CFB0" w:tentative="1">
      <w:start w:val="1"/>
      <w:numFmt w:val="bullet"/>
      <w:lvlText w:val="o"/>
      <w:lvlJc w:val="left"/>
      <w:pPr>
        <w:ind w:left="5760" w:hanging="360"/>
      </w:pPr>
      <w:rPr>
        <w:rFonts w:ascii="Courier New" w:hAnsi="Courier New" w:cs="Courier New" w:hint="default"/>
      </w:rPr>
    </w:lvl>
    <w:lvl w:ilvl="8" w:tplc="07745FCA" w:tentative="1">
      <w:start w:val="1"/>
      <w:numFmt w:val="bullet"/>
      <w:lvlText w:val=""/>
      <w:lvlJc w:val="left"/>
      <w:pPr>
        <w:ind w:left="6480" w:hanging="360"/>
      </w:pPr>
      <w:rPr>
        <w:rFonts w:ascii="Wingdings" w:hAnsi="Wingdings" w:hint="default"/>
      </w:rPr>
    </w:lvl>
  </w:abstractNum>
  <w:abstractNum w:abstractNumId="28" w15:restartNumberingAfterBreak="0">
    <w:nsid w:val="3C542B04"/>
    <w:multiLevelType w:val="hybridMultilevel"/>
    <w:tmpl w:val="F154C5BC"/>
    <w:lvl w:ilvl="0" w:tplc="04090001">
      <w:start w:val="1"/>
      <w:numFmt w:val="bullet"/>
      <w:lvlText w:val=""/>
      <w:lvlJc w:val="left"/>
      <w:pPr>
        <w:ind w:left="720" w:hanging="720"/>
      </w:pPr>
      <w:rPr>
        <w:rFonts w:ascii="Symbol" w:hAnsi="Symbol" w:hint="default"/>
      </w:rPr>
    </w:lvl>
    <w:lvl w:ilvl="1" w:tplc="04090019">
      <w:start w:val="1"/>
      <w:numFmt w:val="lowerLetter"/>
      <w:lvlText w:val="%2."/>
      <w:lvlJc w:val="left"/>
      <w:pPr>
        <w:ind w:left="1440" w:hanging="360"/>
      </w:pPr>
    </w:lvl>
    <w:lvl w:ilvl="2" w:tplc="6640003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A96A98"/>
    <w:multiLevelType w:val="hybridMultilevel"/>
    <w:tmpl w:val="2CA40840"/>
    <w:lvl w:ilvl="0" w:tplc="921EFAAA">
      <w:start w:val="1"/>
      <w:numFmt w:val="upperLetter"/>
      <w:lvlText w:val="%1."/>
      <w:lvlJc w:val="left"/>
      <w:pPr>
        <w:ind w:left="720" w:hanging="720"/>
      </w:pPr>
      <w:rPr>
        <w:rFonts w:hint="default"/>
      </w:rPr>
    </w:lvl>
    <w:lvl w:ilvl="1" w:tplc="0C6E5682" w:tentative="1">
      <w:start w:val="1"/>
      <w:numFmt w:val="lowerLetter"/>
      <w:lvlText w:val="%2."/>
      <w:lvlJc w:val="left"/>
      <w:pPr>
        <w:ind w:left="1440" w:hanging="360"/>
      </w:pPr>
    </w:lvl>
    <w:lvl w:ilvl="2" w:tplc="3C620FAC" w:tentative="1">
      <w:start w:val="1"/>
      <w:numFmt w:val="lowerRoman"/>
      <w:lvlText w:val="%3."/>
      <w:lvlJc w:val="right"/>
      <w:pPr>
        <w:ind w:left="2160" w:hanging="180"/>
      </w:pPr>
    </w:lvl>
    <w:lvl w:ilvl="3" w:tplc="79B82686" w:tentative="1">
      <w:start w:val="1"/>
      <w:numFmt w:val="decimal"/>
      <w:lvlText w:val="%4."/>
      <w:lvlJc w:val="left"/>
      <w:pPr>
        <w:ind w:left="2880" w:hanging="360"/>
      </w:pPr>
    </w:lvl>
    <w:lvl w:ilvl="4" w:tplc="40A099E6" w:tentative="1">
      <w:start w:val="1"/>
      <w:numFmt w:val="lowerLetter"/>
      <w:lvlText w:val="%5."/>
      <w:lvlJc w:val="left"/>
      <w:pPr>
        <w:ind w:left="3600" w:hanging="360"/>
      </w:pPr>
    </w:lvl>
    <w:lvl w:ilvl="5" w:tplc="7A381E9C" w:tentative="1">
      <w:start w:val="1"/>
      <w:numFmt w:val="lowerRoman"/>
      <w:lvlText w:val="%6."/>
      <w:lvlJc w:val="right"/>
      <w:pPr>
        <w:ind w:left="4320" w:hanging="180"/>
      </w:pPr>
    </w:lvl>
    <w:lvl w:ilvl="6" w:tplc="A9500ADA" w:tentative="1">
      <w:start w:val="1"/>
      <w:numFmt w:val="decimal"/>
      <w:lvlText w:val="%7."/>
      <w:lvlJc w:val="left"/>
      <w:pPr>
        <w:ind w:left="5040" w:hanging="360"/>
      </w:pPr>
    </w:lvl>
    <w:lvl w:ilvl="7" w:tplc="9722673C" w:tentative="1">
      <w:start w:val="1"/>
      <w:numFmt w:val="lowerLetter"/>
      <w:lvlText w:val="%8."/>
      <w:lvlJc w:val="left"/>
      <w:pPr>
        <w:ind w:left="5760" w:hanging="360"/>
      </w:pPr>
    </w:lvl>
    <w:lvl w:ilvl="8" w:tplc="DBF4A7B4" w:tentative="1">
      <w:start w:val="1"/>
      <w:numFmt w:val="lowerRoman"/>
      <w:lvlText w:val="%9."/>
      <w:lvlJc w:val="right"/>
      <w:pPr>
        <w:ind w:left="6480" w:hanging="180"/>
      </w:pPr>
    </w:lvl>
  </w:abstractNum>
  <w:abstractNum w:abstractNumId="30" w15:restartNumberingAfterBreak="0">
    <w:nsid w:val="40BF13B9"/>
    <w:multiLevelType w:val="hybridMultilevel"/>
    <w:tmpl w:val="C98E07B4"/>
    <w:lvl w:ilvl="0" w:tplc="3B7ED4D6">
      <w:start w:val="1"/>
      <w:numFmt w:val="decimal"/>
      <w:lvlText w:val="Q%1."/>
      <w:lvlJc w:val="left"/>
      <w:pPr>
        <w:ind w:left="1080" w:hanging="360"/>
      </w:pPr>
      <w:rPr>
        <w:rFonts w:ascii="Times New Roman" w:hAnsi="Times New Roman" w:cs="Times New Roman" w:hint="default"/>
        <w:b w:val="0"/>
        <w:i w:val="0"/>
        <w:sz w:val="24"/>
      </w:rPr>
    </w:lvl>
    <w:lvl w:ilvl="1" w:tplc="D5C8FD44">
      <w:start w:val="1"/>
      <w:numFmt w:val="lowerLetter"/>
      <w:lvlText w:val="%2."/>
      <w:lvlJc w:val="left"/>
      <w:pPr>
        <w:ind w:left="-2790" w:hanging="360"/>
      </w:pPr>
    </w:lvl>
    <w:lvl w:ilvl="2" w:tplc="D436D6A8" w:tentative="1">
      <w:start w:val="1"/>
      <w:numFmt w:val="lowerRoman"/>
      <w:lvlText w:val="%3."/>
      <w:lvlJc w:val="right"/>
      <w:pPr>
        <w:ind w:left="-2070" w:hanging="180"/>
      </w:pPr>
    </w:lvl>
    <w:lvl w:ilvl="3" w:tplc="6A5222E4" w:tentative="1">
      <w:start w:val="1"/>
      <w:numFmt w:val="decimal"/>
      <w:lvlText w:val="%4."/>
      <w:lvlJc w:val="left"/>
      <w:pPr>
        <w:ind w:left="-1350" w:hanging="360"/>
      </w:pPr>
    </w:lvl>
    <w:lvl w:ilvl="4" w:tplc="D7764276" w:tentative="1">
      <w:start w:val="1"/>
      <w:numFmt w:val="lowerLetter"/>
      <w:lvlText w:val="%5."/>
      <w:lvlJc w:val="left"/>
      <w:pPr>
        <w:ind w:left="-630" w:hanging="360"/>
      </w:pPr>
    </w:lvl>
    <w:lvl w:ilvl="5" w:tplc="2490F95E" w:tentative="1">
      <w:start w:val="1"/>
      <w:numFmt w:val="lowerRoman"/>
      <w:lvlText w:val="%6."/>
      <w:lvlJc w:val="right"/>
      <w:pPr>
        <w:ind w:left="90" w:hanging="180"/>
      </w:pPr>
    </w:lvl>
    <w:lvl w:ilvl="6" w:tplc="3B3E1A90" w:tentative="1">
      <w:start w:val="1"/>
      <w:numFmt w:val="decimal"/>
      <w:lvlText w:val="%7."/>
      <w:lvlJc w:val="left"/>
      <w:pPr>
        <w:ind w:left="810" w:hanging="360"/>
      </w:pPr>
    </w:lvl>
    <w:lvl w:ilvl="7" w:tplc="74708528" w:tentative="1">
      <w:start w:val="1"/>
      <w:numFmt w:val="lowerLetter"/>
      <w:lvlText w:val="%8."/>
      <w:lvlJc w:val="left"/>
      <w:pPr>
        <w:ind w:left="1530" w:hanging="360"/>
      </w:pPr>
    </w:lvl>
    <w:lvl w:ilvl="8" w:tplc="CBA2C496" w:tentative="1">
      <w:start w:val="1"/>
      <w:numFmt w:val="lowerRoman"/>
      <w:lvlText w:val="%9."/>
      <w:lvlJc w:val="right"/>
      <w:pPr>
        <w:ind w:left="2250" w:hanging="180"/>
      </w:pPr>
    </w:lvl>
  </w:abstractNum>
  <w:abstractNum w:abstractNumId="31" w15:restartNumberingAfterBreak="0">
    <w:nsid w:val="488B47A6"/>
    <w:multiLevelType w:val="hybridMultilevel"/>
    <w:tmpl w:val="3C389C4A"/>
    <w:lvl w:ilvl="0" w:tplc="2D6AC7CE">
      <w:start w:val="1"/>
      <w:numFmt w:val="decimal"/>
      <w:pStyle w:val="Q"/>
      <w:lvlText w:val="Q%1."/>
      <w:lvlJc w:val="left"/>
      <w:pPr>
        <w:ind w:left="720" w:hanging="720"/>
      </w:pPr>
      <w:rPr>
        <w:rFonts w:ascii="Times New Roman" w:hAnsi="Times New Roman" w:hint="default"/>
        <w:b w:val="0"/>
        <w:i w:val="0"/>
        <w:color w:val="auto"/>
        <w:sz w:val="24"/>
      </w:rPr>
    </w:lvl>
    <w:lvl w:ilvl="1" w:tplc="07164EDC" w:tentative="1">
      <w:start w:val="1"/>
      <w:numFmt w:val="lowerLetter"/>
      <w:lvlText w:val="%2."/>
      <w:lvlJc w:val="left"/>
      <w:pPr>
        <w:ind w:left="1440" w:hanging="360"/>
      </w:pPr>
    </w:lvl>
    <w:lvl w:ilvl="2" w:tplc="D382CD06" w:tentative="1">
      <w:start w:val="1"/>
      <w:numFmt w:val="lowerRoman"/>
      <w:lvlText w:val="%3."/>
      <w:lvlJc w:val="right"/>
      <w:pPr>
        <w:ind w:left="2160" w:hanging="180"/>
      </w:pPr>
    </w:lvl>
    <w:lvl w:ilvl="3" w:tplc="DF069CDA" w:tentative="1">
      <w:start w:val="1"/>
      <w:numFmt w:val="decimal"/>
      <w:lvlText w:val="%4."/>
      <w:lvlJc w:val="left"/>
      <w:pPr>
        <w:ind w:left="2880" w:hanging="360"/>
      </w:pPr>
    </w:lvl>
    <w:lvl w:ilvl="4" w:tplc="E31416B2" w:tentative="1">
      <w:start w:val="1"/>
      <w:numFmt w:val="lowerLetter"/>
      <w:lvlText w:val="%5."/>
      <w:lvlJc w:val="left"/>
      <w:pPr>
        <w:ind w:left="3600" w:hanging="360"/>
      </w:pPr>
    </w:lvl>
    <w:lvl w:ilvl="5" w:tplc="F73090D4" w:tentative="1">
      <w:start w:val="1"/>
      <w:numFmt w:val="lowerRoman"/>
      <w:lvlText w:val="%6."/>
      <w:lvlJc w:val="right"/>
      <w:pPr>
        <w:ind w:left="4320" w:hanging="180"/>
      </w:pPr>
    </w:lvl>
    <w:lvl w:ilvl="6" w:tplc="C01EF9C0" w:tentative="1">
      <w:start w:val="1"/>
      <w:numFmt w:val="decimal"/>
      <w:lvlText w:val="%7."/>
      <w:lvlJc w:val="left"/>
      <w:pPr>
        <w:ind w:left="5040" w:hanging="360"/>
      </w:pPr>
    </w:lvl>
    <w:lvl w:ilvl="7" w:tplc="ED2C7360" w:tentative="1">
      <w:start w:val="1"/>
      <w:numFmt w:val="lowerLetter"/>
      <w:lvlText w:val="%8."/>
      <w:lvlJc w:val="left"/>
      <w:pPr>
        <w:ind w:left="5760" w:hanging="360"/>
      </w:pPr>
    </w:lvl>
    <w:lvl w:ilvl="8" w:tplc="A860F07E" w:tentative="1">
      <w:start w:val="1"/>
      <w:numFmt w:val="lowerRoman"/>
      <w:lvlText w:val="%9."/>
      <w:lvlJc w:val="right"/>
      <w:pPr>
        <w:ind w:left="6480" w:hanging="180"/>
      </w:pPr>
    </w:lvl>
  </w:abstractNum>
  <w:abstractNum w:abstractNumId="32" w15:restartNumberingAfterBreak="0">
    <w:nsid w:val="4DBE2871"/>
    <w:multiLevelType w:val="hybridMultilevel"/>
    <w:tmpl w:val="B638F26C"/>
    <w:lvl w:ilvl="0" w:tplc="9E7A223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6D49AF"/>
    <w:multiLevelType w:val="hybridMultilevel"/>
    <w:tmpl w:val="845642F4"/>
    <w:lvl w:ilvl="0" w:tplc="4F12C8E4">
      <w:start w:val="1"/>
      <w:numFmt w:val="upperLetter"/>
      <w:lvlText w:val="%1."/>
      <w:lvlJc w:val="left"/>
      <w:pPr>
        <w:ind w:left="720" w:hanging="360"/>
      </w:pPr>
      <w:rPr>
        <w:rFonts w:hint="default"/>
      </w:rPr>
    </w:lvl>
    <w:lvl w:ilvl="1" w:tplc="52D6709E" w:tentative="1">
      <w:start w:val="1"/>
      <w:numFmt w:val="lowerLetter"/>
      <w:lvlText w:val="%2."/>
      <w:lvlJc w:val="left"/>
      <w:pPr>
        <w:ind w:left="1440" w:hanging="360"/>
      </w:pPr>
    </w:lvl>
    <w:lvl w:ilvl="2" w:tplc="B544657C" w:tentative="1">
      <w:start w:val="1"/>
      <w:numFmt w:val="lowerRoman"/>
      <w:lvlText w:val="%3."/>
      <w:lvlJc w:val="right"/>
      <w:pPr>
        <w:ind w:left="2160" w:hanging="180"/>
      </w:pPr>
    </w:lvl>
    <w:lvl w:ilvl="3" w:tplc="D06A2DA6" w:tentative="1">
      <w:start w:val="1"/>
      <w:numFmt w:val="decimal"/>
      <w:lvlText w:val="%4."/>
      <w:lvlJc w:val="left"/>
      <w:pPr>
        <w:ind w:left="2880" w:hanging="360"/>
      </w:pPr>
    </w:lvl>
    <w:lvl w:ilvl="4" w:tplc="8ED2B23C" w:tentative="1">
      <w:start w:val="1"/>
      <w:numFmt w:val="lowerLetter"/>
      <w:lvlText w:val="%5."/>
      <w:lvlJc w:val="left"/>
      <w:pPr>
        <w:ind w:left="3600" w:hanging="360"/>
      </w:pPr>
    </w:lvl>
    <w:lvl w:ilvl="5" w:tplc="2DA8E832" w:tentative="1">
      <w:start w:val="1"/>
      <w:numFmt w:val="lowerRoman"/>
      <w:lvlText w:val="%6."/>
      <w:lvlJc w:val="right"/>
      <w:pPr>
        <w:ind w:left="4320" w:hanging="180"/>
      </w:pPr>
    </w:lvl>
    <w:lvl w:ilvl="6" w:tplc="87263608" w:tentative="1">
      <w:start w:val="1"/>
      <w:numFmt w:val="decimal"/>
      <w:lvlText w:val="%7."/>
      <w:lvlJc w:val="left"/>
      <w:pPr>
        <w:ind w:left="5040" w:hanging="360"/>
      </w:pPr>
    </w:lvl>
    <w:lvl w:ilvl="7" w:tplc="3D72CBB2" w:tentative="1">
      <w:start w:val="1"/>
      <w:numFmt w:val="lowerLetter"/>
      <w:lvlText w:val="%8."/>
      <w:lvlJc w:val="left"/>
      <w:pPr>
        <w:ind w:left="5760" w:hanging="360"/>
      </w:pPr>
    </w:lvl>
    <w:lvl w:ilvl="8" w:tplc="F1A4D7E2" w:tentative="1">
      <w:start w:val="1"/>
      <w:numFmt w:val="lowerRoman"/>
      <w:lvlText w:val="%9."/>
      <w:lvlJc w:val="right"/>
      <w:pPr>
        <w:ind w:left="6480" w:hanging="180"/>
      </w:pPr>
    </w:lvl>
  </w:abstractNum>
  <w:abstractNum w:abstractNumId="34" w15:restartNumberingAfterBreak="0">
    <w:nsid w:val="52721D39"/>
    <w:multiLevelType w:val="hybridMultilevel"/>
    <w:tmpl w:val="CBD2C77C"/>
    <w:lvl w:ilvl="0" w:tplc="7DF816A6">
      <w:start w:val="1"/>
      <w:numFmt w:val="decimal"/>
      <w:pStyle w:val="question"/>
      <w:lvlText w:val="Q%1."/>
      <w:lvlJc w:val="left"/>
      <w:pPr>
        <w:ind w:left="459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53C04318" w:tentative="1">
      <w:start w:val="1"/>
      <w:numFmt w:val="lowerLetter"/>
      <w:lvlText w:val="%2."/>
      <w:lvlJc w:val="left"/>
      <w:pPr>
        <w:ind w:left="2160" w:hanging="360"/>
      </w:pPr>
    </w:lvl>
    <w:lvl w:ilvl="2" w:tplc="6A48ECE4" w:tentative="1">
      <w:start w:val="1"/>
      <w:numFmt w:val="lowerRoman"/>
      <w:lvlText w:val="%3."/>
      <w:lvlJc w:val="right"/>
      <w:pPr>
        <w:ind w:left="2880" w:hanging="180"/>
      </w:pPr>
    </w:lvl>
    <w:lvl w:ilvl="3" w:tplc="8B8E5DAA" w:tentative="1">
      <w:start w:val="1"/>
      <w:numFmt w:val="decimal"/>
      <w:lvlText w:val="%4."/>
      <w:lvlJc w:val="left"/>
      <w:pPr>
        <w:ind w:left="3600" w:hanging="360"/>
      </w:pPr>
    </w:lvl>
    <w:lvl w:ilvl="4" w:tplc="D5E0ADFE" w:tentative="1">
      <w:start w:val="1"/>
      <w:numFmt w:val="lowerLetter"/>
      <w:lvlText w:val="%5."/>
      <w:lvlJc w:val="left"/>
      <w:pPr>
        <w:ind w:left="4320" w:hanging="360"/>
      </w:pPr>
    </w:lvl>
    <w:lvl w:ilvl="5" w:tplc="950EDFDE" w:tentative="1">
      <w:start w:val="1"/>
      <w:numFmt w:val="lowerRoman"/>
      <w:lvlText w:val="%6."/>
      <w:lvlJc w:val="right"/>
      <w:pPr>
        <w:ind w:left="5040" w:hanging="180"/>
      </w:pPr>
    </w:lvl>
    <w:lvl w:ilvl="6" w:tplc="FEDCE596" w:tentative="1">
      <w:start w:val="1"/>
      <w:numFmt w:val="decimal"/>
      <w:lvlText w:val="%7."/>
      <w:lvlJc w:val="left"/>
      <w:pPr>
        <w:ind w:left="5760" w:hanging="360"/>
      </w:pPr>
    </w:lvl>
    <w:lvl w:ilvl="7" w:tplc="423EBD72" w:tentative="1">
      <w:start w:val="1"/>
      <w:numFmt w:val="lowerLetter"/>
      <w:lvlText w:val="%8."/>
      <w:lvlJc w:val="left"/>
      <w:pPr>
        <w:ind w:left="6480" w:hanging="360"/>
      </w:pPr>
    </w:lvl>
    <w:lvl w:ilvl="8" w:tplc="3392B1D0" w:tentative="1">
      <w:start w:val="1"/>
      <w:numFmt w:val="lowerRoman"/>
      <w:lvlText w:val="%9."/>
      <w:lvlJc w:val="right"/>
      <w:pPr>
        <w:ind w:left="7200" w:hanging="180"/>
      </w:pPr>
    </w:lvl>
  </w:abstractNum>
  <w:abstractNum w:abstractNumId="35" w15:restartNumberingAfterBreak="0">
    <w:nsid w:val="528C02A1"/>
    <w:multiLevelType w:val="hybridMultilevel"/>
    <w:tmpl w:val="229AEE42"/>
    <w:lvl w:ilvl="0" w:tplc="9E6045F2">
      <w:start w:val="1"/>
      <w:numFmt w:val="bullet"/>
      <w:lvlText w:val=""/>
      <w:lvlJc w:val="left"/>
      <w:pPr>
        <w:ind w:left="720" w:hanging="360"/>
      </w:pPr>
      <w:rPr>
        <w:rFonts w:ascii="Symbol" w:hAnsi="Symbol" w:hint="default"/>
      </w:rPr>
    </w:lvl>
    <w:lvl w:ilvl="1" w:tplc="D8E42910">
      <w:start w:val="1"/>
      <w:numFmt w:val="bullet"/>
      <w:lvlText w:val="o"/>
      <w:lvlJc w:val="left"/>
      <w:pPr>
        <w:ind w:left="1440" w:hanging="360"/>
      </w:pPr>
      <w:rPr>
        <w:rFonts w:ascii="Courier New" w:hAnsi="Courier New" w:cs="Courier New" w:hint="default"/>
      </w:rPr>
    </w:lvl>
    <w:lvl w:ilvl="2" w:tplc="9AE8556A">
      <w:start w:val="1"/>
      <w:numFmt w:val="bullet"/>
      <w:lvlText w:val=""/>
      <w:lvlJc w:val="left"/>
      <w:pPr>
        <w:ind w:left="2160" w:hanging="360"/>
      </w:pPr>
      <w:rPr>
        <w:rFonts w:ascii="Wingdings" w:hAnsi="Wingdings" w:hint="default"/>
      </w:rPr>
    </w:lvl>
    <w:lvl w:ilvl="3" w:tplc="3BDE0D86" w:tentative="1">
      <w:start w:val="1"/>
      <w:numFmt w:val="bullet"/>
      <w:lvlText w:val=""/>
      <w:lvlJc w:val="left"/>
      <w:pPr>
        <w:ind w:left="2880" w:hanging="360"/>
      </w:pPr>
      <w:rPr>
        <w:rFonts w:ascii="Symbol" w:hAnsi="Symbol" w:hint="default"/>
      </w:rPr>
    </w:lvl>
    <w:lvl w:ilvl="4" w:tplc="21D68FF4" w:tentative="1">
      <w:start w:val="1"/>
      <w:numFmt w:val="bullet"/>
      <w:lvlText w:val="o"/>
      <w:lvlJc w:val="left"/>
      <w:pPr>
        <w:ind w:left="3600" w:hanging="360"/>
      </w:pPr>
      <w:rPr>
        <w:rFonts w:ascii="Courier New" w:hAnsi="Courier New" w:cs="Courier New" w:hint="default"/>
      </w:rPr>
    </w:lvl>
    <w:lvl w:ilvl="5" w:tplc="2E4A2172" w:tentative="1">
      <w:start w:val="1"/>
      <w:numFmt w:val="bullet"/>
      <w:lvlText w:val=""/>
      <w:lvlJc w:val="left"/>
      <w:pPr>
        <w:ind w:left="4320" w:hanging="360"/>
      </w:pPr>
      <w:rPr>
        <w:rFonts w:ascii="Wingdings" w:hAnsi="Wingdings" w:hint="default"/>
      </w:rPr>
    </w:lvl>
    <w:lvl w:ilvl="6" w:tplc="844E4C84" w:tentative="1">
      <w:start w:val="1"/>
      <w:numFmt w:val="bullet"/>
      <w:lvlText w:val=""/>
      <w:lvlJc w:val="left"/>
      <w:pPr>
        <w:ind w:left="5040" w:hanging="360"/>
      </w:pPr>
      <w:rPr>
        <w:rFonts w:ascii="Symbol" w:hAnsi="Symbol" w:hint="default"/>
      </w:rPr>
    </w:lvl>
    <w:lvl w:ilvl="7" w:tplc="E71A7B3A" w:tentative="1">
      <w:start w:val="1"/>
      <w:numFmt w:val="bullet"/>
      <w:lvlText w:val="o"/>
      <w:lvlJc w:val="left"/>
      <w:pPr>
        <w:ind w:left="5760" w:hanging="360"/>
      </w:pPr>
      <w:rPr>
        <w:rFonts w:ascii="Courier New" w:hAnsi="Courier New" w:cs="Courier New" w:hint="default"/>
      </w:rPr>
    </w:lvl>
    <w:lvl w:ilvl="8" w:tplc="E0C0D44C" w:tentative="1">
      <w:start w:val="1"/>
      <w:numFmt w:val="bullet"/>
      <w:lvlText w:val=""/>
      <w:lvlJc w:val="left"/>
      <w:pPr>
        <w:ind w:left="6480" w:hanging="360"/>
      </w:pPr>
      <w:rPr>
        <w:rFonts w:ascii="Wingdings" w:hAnsi="Wingdings" w:hint="default"/>
      </w:rPr>
    </w:lvl>
  </w:abstractNum>
  <w:abstractNum w:abstractNumId="36" w15:restartNumberingAfterBreak="0">
    <w:nsid w:val="54EF1656"/>
    <w:multiLevelType w:val="hybridMultilevel"/>
    <w:tmpl w:val="313C18F6"/>
    <w:lvl w:ilvl="0" w:tplc="6B983E94">
      <w:start w:val="1"/>
      <w:numFmt w:val="bullet"/>
      <w:lvlText w:val=""/>
      <w:lvlJc w:val="left"/>
      <w:pPr>
        <w:ind w:left="720" w:hanging="360"/>
      </w:pPr>
      <w:rPr>
        <w:rFonts w:ascii="Symbol" w:hAnsi="Symbol" w:hint="default"/>
      </w:rPr>
    </w:lvl>
    <w:lvl w:ilvl="1" w:tplc="0A782332" w:tentative="1">
      <w:start w:val="1"/>
      <w:numFmt w:val="bullet"/>
      <w:lvlText w:val="o"/>
      <w:lvlJc w:val="left"/>
      <w:pPr>
        <w:ind w:left="1440" w:hanging="360"/>
      </w:pPr>
      <w:rPr>
        <w:rFonts w:ascii="Courier New" w:hAnsi="Courier New" w:cs="Courier New" w:hint="default"/>
      </w:rPr>
    </w:lvl>
    <w:lvl w:ilvl="2" w:tplc="AE14C22A" w:tentative="1">
      <w:start w:val="1"/>
      <w:numFmt w:val="bullet"/>
      <w:lvlText w:val=""/>
      <w:lvlJc w:val="left"/>
      <w:pPr>
        <w:ind w:left="2160" w:hanging="360"/>
      </w:pPr>
      <w:rPr>
        <w:rFonts w:ascii="Wingdings" w:hAnsi="Wingdings" w:hint="default"/>
      </w:rPr>
    </w:lvl>
    <w:lvl w:ilvl="3" w:tplc="60E0F5D0" w:tentative="1">
      <w:start w:val="1"/>
      <w:numFmt w:val="bullet"/>
      <w:lvlText w:val=""/>
      <w:lvlJc w:val="left"/>
      <w:pPr>
        <w:ind w:left="2880" w:hanging="360"/>
      </w:pPr>
      <w:rPr>
        <w:rFonts w:ascii="Symbol" w:hAnsi="Symbol" w:hint="default"/>
      </w:rPr>
    </w:lvl>
    <w:lvl w:ilvl="4" w:tplc="CD7C898E" w:tentative="1">
      <w:start w:val="1"/>
      <w:numFmt w:val="bullet"/>
      <w:lvlText w:val="o"/>
      <w:lvlJc w:val="left"/>
      <w:pPr>
        <w:ind w:left="3600" w:hanging="360"/>
      </w:pPr>
      <w:rPr>
        <w:rFonts w:ascii="Courier New" w:hAnsi="Courier New" w:cs="Courier New" w:hint="default"/>
      </w:rPr>
    </w:lvl>
    <w:lvl w:ilvl="5" w:tplc="AD82FAE6" w:tentative="1">
      <w:start w:val="1"/>
      <w:numFmt w:val="bullet"/>
      <w:lvlText w:val=""/>
      <w:lvlJc w:val="left"/>
      <w:pPr>
        <w:ind w:left="4320" w:hanging="360"/>
      </w:pPr>
      <w:rPr>
        <w:rFonts w:ascii="Wingdings" w:hAnsi="Wingdings" w:hint="default"/>
      </w:rPr>
    </w:lvl>
    <w:lvl w:ilvl="6" w:tplc="D98690E8" w:tentative="1">
      <w:start w:val="1"/>
      <w:numFmt w:val="bullet"/>
      <w:lvlText w:val=""/>
      <w:lvlJc w:val="left"/>
      <w:pPr>
        <w:ind w:left="5040" w:hanging="360"/>
      </w:pPr>
      <w:rPr>
        <w:rFonts w:ascii="Symbol" w:hAnsi="Symbol" w:hint="default"/>
      </w:rPr>
    </w:lvl>
    <w:lvl w:ilvl="7" w:tplc="AF8E7E02" w:tentative="1">
      <w:start w:val="1"/>
      <w:numFmt w:val="bullet"/>
      <w:lvlText w:val="o"/>
      <w:lvlJc w:val="left"/>
      <w:pPr>
        <w:ind w:left="5760" w:hanging="360"/>
      </w:pPr>
      <w:rPr>
        <w:rFonts w:ascii="Courier New" w:hAnsi="Courier New" w:cs="Courier New" w:hint="default"/>
      </w:rPr>
    </w:lvl>
    <w:lvl w:ilvl="8" w:tplc="7048D672" w:tentative="1">
      <w:start w:val="1"/>
      <w:numFmt w:val="bullet"/>
      <w:lvlText w:val=""/>
      <w:lvlJc w:val="left"/>
      <w:pPr>
        <w:ind w:left="6480" w:hanging="360"/>
      </w:pPr>
      <w:rPr>
        <w:rFonts w:ascii="Wingdings" w:hAnsi="Wingdings" w:hint="default"/>
      </w:rPr>
    </w:lvl>
  </w:abstractNum>
  <w:abstractNum w:abstractNumId="37" w15:restartNumberingAfterBreak="0">
    <w:nsid w:val="5B7573B8"/>
    <w:multiLevelType w:val="hybridMultilevel"/>
    <w:tmpl w:val="704482E2"/>
    <w:lvl w:ilvl="0" w:tplc="B386A3D8">
      <w:start w:val="1"/>
      <w:numFmt w:val="decimal"/>
      <w:lvlText w:val="Q%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8" w15:restartNumberingAfterBreak="0">
    <w:nsid w:val="5C777AE9"/>
    <w:multiLevelType w:val="hybridMultilevel"/>
    <w:tmpl w:val="1B64206E"/>
    <w:lvl w:ilvl="0" w:tplc="A266A4A8">
      <w:start w:val="1"/>
      <w:numFmt w:val="upperLetter"/>
      <w:lvlText w:val="%1."/>
      <w:lvlJc w:val="left"/>
      <w:pPr>
        <w:tabs>
          <w:tab w:val="num" w:pos="720"/>
        </w:tabs>
        <w:ind w:left="720" w:hanging="720"/>
      </w:pPr>
      <w:rPr>
        <w:rFonts w:cs="Times New Roman" w:hint="default"/>
      </w:rPr>
    </w:lvl>
    <w:lvl w:ilvl="1" w:tplc="54F842CC">
      <w:numFmt w:val="decimal"/>
      <w:lvlText w:val=""/>
      <w:lvlJc w:val="left"/>
    </w:lvl>
    <w:lvl w:ilvl="2" w:tplc="098EE3B8">
      <w:numFmt w:val="decimal"/>
      <w:lvlText w:val=""/>
      <w:lvlJc w:val="left"/>
    </w:lvl>
    <w:lvl w:ilvl="3" w:tplc="9C6C7318">
      <w:numFmt w:val="decimal"/>
      <w:lvlText w:val=""/>
      <w:lvlJc w:val="left"/>
    </w:lvl>
    <w:lvl w:ilvl="4" w:tplc="CA269AF0">
      <w:numFmt w:val="decimal"/>
      <w:lvlText w:val=""/>
      <w:lvlJc w:val="left"/>
    </w:lvl>
    <w:lvl w:ilvl="5" w:tplc="54DC090A">
      <w:numFmt w:val="decimal"/>
      <w:lvlText w:val=""/>
      <w:lvlJc w:val="left"/>
    </w:lvl>
    <w:lvl w:ilvl="6" w:tplc="3E48A95A">
      <w:numFmt w:val="decimal"/>
      <w:lvlText w:val=""/>
      <w:lvlJc w:val="left"/>
    </w:lvl>
    <w:lvl w:ilvl="7" w:tplc="63F65588">
      <w:numFmt w:val="decimal"/>
      <w:lvlText w:val=""/>
      <w:lvlJc w:val="left"/>
    </w:lvl>
    <w:lvl w:ilvl="8" w:tplc="CAA830AC">
      <w:numFmt w:val="decimal"/>
      <w:lvlText w:val=""/>
      <w:lvlJc w:val="left"/>
    </w:lvl>
  </w:abstractNum>
  <w:abstractNum w:abstractNumId="39" w15:restartNumberingAfterBreak="0">
    <w:nsid w:val="5CCD6C32"/>
    <w:multiLevelType w:val="hybridMultilevel"/>
    <w:tmpl w:val="F4608726"/>
    <w:lvl w:ilvl="0" w:tplc="E1D2C7D8">
      <w:start w:val="1"/>
      <w:numFmt w:val="bullet"/>
      <w:lvlText w:val=""/>
      <w:lvlJc w:val="left"/>
      <w:pPr>
        <w:ind w:left="720" w:hanging="360"/>
      </w:pPr>
      <w:rPr>
        <w:rFonts w:ascii="Symbol" w:hAnsi="Symbol" w:hint="default"/>
      </w:rPr>
    </w:lvl>
    <w:lvl w:ilvl="1" w:tplc="55BC9222" w:tentative="1">
      <w:start w:val="1"/>
      <w:numFmt w:val="bullet"/>
      <w:lvlText w:val="o"/>
      <w:lvlJc w:val="left"/>
      <w:pPr>
        <w:ind w:left="1440" w:hanging="360"/>
      </w:pPr>
      <w:rPr>
        <w:rFonts w:ascii="Courier New" w:hAnsi="Courier New" w:cs="Courier New" w:hint="default"/>
      </w:rPr>
    </w:lvl>
    <w:lvl w:ilvl="2" w:tplc="B1A0FBE2" w:tentative="1">
      <w:start w:val="1"/>
      <w:numFmt w:val="bullet"/>
      <w:lvlText w:val=""/>
      <w:lvlJc w:val="left"/>
      <w:pPr>
        <w:ind w:left="2160" w:hanging="360"/>
      </w:pPr>
      <w:rPr>
        <w:rFonts w:ascii="Wingdings" w:hAnsi="Wingdings" w:hint="default"/>
      </w:rPr>
    </w:lvl>
    <w:lvl w:ilvl="3" w:tplc="9026A4E6" w:tentative="1">
      <w:start w:val="1"/>
      <w:numFmt w:val="bullet"/>
      <w:lvlText w:val=""/>
      <w:lvlJc w:val="left"/>
      <w:pPr>
        <w:ind w:left="2880" w:hanging="360"/>
      </w:pPr>
      <w:rPr>
        <w:rFonts w:ascii="Symbol" w:hAnsi="Symbol" w:hint="default"/>
      </w:rPr>
    </w:lvl>
    <w:lvl w:ilvl="4" w:tplc="A7F26DFA" w:tentative="1">
      <w:start w:val="1"/>
      <w:numFmt w:val="bullet"/>
      <w:lvlText w:val="o"/>
      <w:lvlJc w:val="left"/>
      <w:pPr>
        <w:ind w:left="3600" w:hanging="360"/>
      </w:pPr>
      <w:rPr>
        <w:rFonts w:ascii="Courier New" w:hAnsi="Courier New" w:cs="Courier New" w:hint="default"/>
      </w:rPr>
    </w:lvl>
    <w:lvl w:ilvl="5" w:tplc="9D5C6E36" w:tentative="1">
      <w:start w:val="1"/>
      <w:numFmt w:val="bullet"/>
      <w:lvlText w:val=""/>
      <w:lvlJc w:val="left"/>
      <w:pPr>
        <w:ind w:left="4320" w:hanging="360"/>
      </w:pPr>
      <w:rPr>
        <w:rFonts w:ascii="Wingdings" w:hAnsi="Wingdings" w:hint="default"/>
      </w:rPr>
    </w:lvl>
    <w:lvl w:ilvl="6" w:tplc="AC1AF456" w:tentative="1">
      <w:start w:val="1"/>
      <w:numFmt w:val="bullet"/>
      <w:lvlText w:val=""/>
      <w:lvlJc w:val="left"/>
      <w:pPr>
        <w:ind w:left="5040" w:hanging="360"/>
      </w:pPr>
      <w:rPr>
        <w:rFonts w:ascii="Symbol" w:hAnsi="Symbol" w:hint="default"/>
      </w:rPr>
    </w:lvl>
    <w:lvl w:ilvl="7" w:tplc="3A2AB2B2" w:tentative="1">
      <w:start w:val="1"/>
      <w:numFmt w:val="bullet"/>
      <w:lvlText w:val="o"/>
      <w:lvlJc w:val="left"/>
      <w:pPr>
        <w:ind w:left="5760" w:hanging="360"/>
      </w:pPr>
      <w:rPr>
        <w:rFonts w:ascii="Courier New" w:hAnsi="Courier New" w:cs="Courier New" w:hint="default"/>
      </w:rPr>
    </w:lvl>
    <w:lvl w:ilvl="8" w:tplc="041C25FE" w:tentative="1">
      <w:start w:val="1"/>
      <w:numFmt w:val="bullet"/>
      <w:lvlText w:val=""/>
      <w:lvlJc w:val="left"/>
      <w:pPr>
        <w:ind w:left="6480" w:hanging="360"/>
      </w:pPr>
      <w:rPr>
        <w:rFonts w:ascii="Wingdings" w:hAnsi="Wingdings" w:hint="default"/>
      </w:rPr>
    </w:lvl>
  </w:abstractNum>
  <w:abstractNum w:abstractNumId="40" w15:restartNumberingAfterBreak="0">
    <w:nsid w:val="5D0855B3"/>
    <w:multiLevelType w:val="multilevel"/>
    <w:tmpl w:val="1092F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E006CDB"/>
    <w:multiLevelType w:val="hybridMultilevel"/>
    <w:tmpl w:val="41CEDE2E"/>
    <w:lvl w:ilvl="0" w:tplc="9BEAFE2A">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61639F"/>
    <w:multiLevelType w:val="hybridMultilevel"/>
    <w:tmpl w:val="1818AEB4"/>
    <w:lvl w:ilvl="0" w:tplc="8242C718">
      <w:start w:val="1"/>
      <w:numFmt w:val="upperLetter"/>
      <w:lvlText w:val="%1."/>
      <w:lvlJc w:val="left"/>
      <w:pPr>
        <w:ind w:left="2700" w:hanging="72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3" w15:restartNumberingAfterBreak="0">
    <w:nsid w:val="68944999"/>
    <w:multiLevelType w:val="hybridMultilevel"/>
    <w:tmpl w:val="5BD6BE9E"/>
    <w:lvl w:ilvl="0" w:tplc="F7F634E6">
      <w:start w:val="1"/>
      <w:numFmt w:val="upperLetter"/>
      <w:pStyle w:val="LPSCHeading2"/>
      <w:lvlText w:val="%1."/>
      <w:lvlJc w:val="left"/>
      <w:pPr>
        <w:ind w:left="360" w:hanging="360"/>
      </w:pPr>
      <w:rPr>
        <w:rFonts w:hint="default"/>
        <w:u w:val="none"/>
      </w:rPr>
    </w:lvl>
    <w:lvl w:ilvl="1" w:tplc="CC50CD42" w:tentative="1">
      <w:start w:val="1"/>
      <w:numFmt w:val="lowerLetter"/>
      <w:lvlText w:val="%2."/>
      <w:lvlJc w:val="left"/>
      <w:pPr>
        <w:ind w:left="1440" w:hanging="360"/>
      </w:pPr>
    </w:lvl>
    <w:lvl w:ilvl="2" w:tplc="E00EF76E" w:tentative="1">
      <w:start w:val="1"/>
      <w:numFmt w:val="lowerRoman"/>
      <w:lvlText w:val="%3."/>
      <w:lvlJc w:val="right"/>
      <w:pPr>
        <w:ind w:left="2160" w:hanging="180"/>
      </w:pPr>
    </w:lvl>
    <w:lvl w:ilvl="3" w:tplc="E0941910" w:tentative="1">
      <w:start w:val="1"/>
      <w:numFmt w:val="decimal"/>
      <w:lvlText w:val="%4."/>
      <w:lvlJc w:val="left"/>
      <w:pPr>
        <w:ind w:left="2880" w:hanging="360"/>
      </w:pPr>
    </w:lvl>
    <w:lvl w:ilvl="4" w:tplc="E13A1AE0" w:tentative="1">
      <w:start w:val="1"/>
      <w:numFmt w:val="lowerLetter"/>
      <w:lvlText w:val="%5."/>
      <w:lvlJc w:val="left"/>
      <w:pPr>
        <w:ind w:left="3600" w:hanging="360"/>
      </w:pPr>
    </w:lvl>
    <w:lvl w:ilvl="5" w:tplc="7D8E54B4" w:tentative="1">
      <w:start w:val="1"/>
      <w:numFmt w:val="lowerRoman"/>
      <w:lvlText w:val="%6."/>
      <w:lvlJc w:val="right"/>
      <w:pPr>
        <w:ind w:left="4320" w:hanging="180"/>
      </w:pPr>
    </w:lvl>
    <w:lvl w:ilvl="6" w:tplc="F1FE3C26" w:tentative="1">
      <w:start w:val="1"/>
      <w:numFmt w:val="decimal"/>
      <w:lvlText w:val="%7."/>
      <w:lvlJc w:val="left"/>
      <w:pPr>
        <w:ind w:left="5040" w:hanging="360"/>
      </w:pPr>
    </w:lvl>
    <w:lvl w:ilvl="7" w:tplc="03F2D34C" w:tentative="1">
      <w:start w:val="1"/>
      <w:numFmt w:val="lowerLetter"/>
      <w:lvlText w:val="%8."/>
      <w:lvlJc w:val="left"/>
      <w:pPr>
        <w:ind w:left="5760" w:hanging="360"/>
      </w:pPr>
    </w:lvl>
    <w:lvl w:ilvl="8" w:tplc="CAC6A6D2" w:tentative="1">
      <w:start w:val="1"/>
      <w:numFmt w:val="lowerRoman"/>
      <w:lvlText w:val="%9."/>
      <w:lvlJc w:val="right"/>
      <w:pPr>
        <w:ind w:left="6480" w:hanging="180"/>
      </w:pPr>
    </w:lvl>
  </w:abstractNum>
  <w:abstractNum w:abstractNumId="44" w15:restartNumberingAfterBreak="0">
    <w:nsid w:val="6D634FB3"/>
    <w:multiLevelType w:val="hybridMultilevel"/>
    <w:tmpl w:val="E8A45D8A"/>
    <w:lvl w:ilvl="0" w:tplc="00DE9CB2">
      <w:start w:val="1"/>
      <w:numFmt w:val="upperLetter"/>
      <w:lvlText w:val="%1."/>
      <w:lvlJc w:val="left"/>
      <w:pPr>
        <w:ind w:left="108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FE58F7"/>
    <w:multiLevelType w:val="hybridMultilevel"/>
    <w:tmpl w:val="A89E321C"/>
    <w:lvl w:ilvl="0" w:tplc="99B8C154">
      <w:start w:val="1"/>
      <w:numFmt w:val="upperLetter"/>
      <w:pStyle w:val="Heading3"/>
      <w:lvlText w:val="%1."/>
      <w:lvlJc w:val="left"/>
      <w:pPr>
        <w:ind w:left="720" w:hanging="360"/>
      </w:pPr>
    </w:lvl>
    <w:lvl w:ilvl="1" w:tplc="5868FC32" w:tentative="1">
      <w:start w:val="1"/>
      <w:numFmt w:val="lowerLetter"/>
      <w:lvlText w:val="%2."/>
      <w:lvlJc w:val="left"/>
      <w:pPr>
        <w:ind w:left="1440" w:hanging="360"/>
      </w:pPr>
    </w:lvl>
    <w:lvl w:ilvl="2" w:tplc="BD6A3A4E" w:tentative="1">
      <w:start w:val="1"/>
      <w:numFmt w:val="lowerRoman"/>
      <w:lvlText w:val="%3."/>
      <w:lvlJc w:val="right"/>
      <w:pPr>
        <w:ind w:left="2160" w:hanging="180"/>
      </w:pPr>
    </w:lvl>
    <w:lvl w:ilvl="3" w:tplc="22EC0170" w:tentative="1">
      <w:start w:val="1"/>
      <w:numFmt w:val="decimal"/>
      <w:lvlText w:val="%4."/>
      <w:lvlJc w:val="left"/>
      <w:pPr>
        <w:ind w:left="2880" w:hanging="360"/>
      </w:pPr>
    </w:lvl>
    <w:lvl w:ilvl="4" w:tplc="7570BA5C" w:tentative="1">
      <w:start w:val="1"/>
      <w:numFmt w:val="lowerLetter"/>
      <w:lvlText w:val="%5."/>
      <w:lvlJc w:val="left"/>
      <w:pPr>
        <w:ind w:left="3600" w:hanging="360"/>
      </w:pPr>
    </w:lvl>
    <w:lvl w:ilvl="5" w:tplc="160E916A" w:tentative="1">
      <w:start w:val="1"/>
      <w:numFmt w:val="lowerRoman"/>
      <w:lvlText w:val="%6."/>
      <w:lvlJc w:val="right"/>
      <w:pPr>
        <w:ind w:left="4320" w:hanging="180"/>
      </w:pPr>
    </w:lvl>
    <w:lvl w:ilvl="6" w:tplc="027C986C" w:tentative="1">
      <w:start w:val="1"/>
      <w:numFmt w:val="decimal"/>
      <w:lvlText w:val="%7."/>
      <w:lvlJc w:val="left"/>
      <w:pPr>
        <w:ind w:left="5040" w:hanging="360"/>
      </w:pPr>
    </w:lvl>
    <w:lvl w:ilvl="7" w:tplc="0E648E8E" w:tentative="1">
      <w:start w:val="1"/>
      <w:numFmt w:val="lowerLetter"/>
      <w:lvlText w:val="%8."/>
      <w:lvlJc w:val="left"/>
      <w:pPr>
        <w:ind w:left="5760" w:hanging="360"/>
      </w:pPr>
    </w:lvl>
    <w:lvl w:ilvl="8" w:tplc="6FE4DAA4" w:tentative="1">
      <w:start w:val="1"/>
      <w:numFmt w:val="lowerRoman"/>
      <w:lvlText w:val="%9."/>
      <w:lvlJc w:val="right"/>
      <w:pPr>
        <w:ind w:left="6480" w:hanging="180"/>
      </w:pPr>
    </w:lvl>
  </w:abstractNum>
  <w:abstractNum w:abstractNumId="46" w15:restartNumberingAfterBreak="0">
    <w:nsid w:val="7A200379"/>
    <w:multiLevelType w:val="hybridMultilevel"/>
    <w:tmpl w:val="0E7E55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4"/>
  </w:num>
  <w:num w:numId="3">
    <w:abstractNumId w:val="43"/>
  </w:num>
  <w:num w:numId="4">
    <w:abstractNumId w:val="31"/>
  </w:num>
  <w:num w:numId="5">
    <w:abstractNumId w:val="33"/>
  </w:num>
  <w:num w:numId="6">
    <w:abstractNumId w:val="45"/>
  </w:num>
  <w:num w:numId="7">
    <w:abstractNumId w:val="29"/>
  </w:num>
  <w:num w:numId="8">
    <w:abstractNumId w:val="22"/>
  </w:num>
  <w:num w:numId="9">
    <w:abstractNumId w:val="34"/>
  </w:num>
  <w:num w:numId="10">
    <w:abstractNumId w:val="19"/>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5"/>
  </w:num>
  <w:num w:numId="23">
    <w:abstractNumId w:val="15"/>
  </w:num>
  <w:num w:numId="24">
    <w:abstractNumId w:val="36"/>
  </w:num>
  <w:num w:numId="25">
    <w:abstractNumId w:val="27"/>
  </w:num>
  <w:num w:numId="26">
    <w:abstractNumId w:val="24"/>
    <w:lvlOverride w:ilvl="0">
      <w:startOverride w:val="1"/>
    </w:lvlOverride>
  </w:num>
  <w:num w:numId="27">
    <w:abstractNumId w:val="39"/>
  </w:num>
  <w:num w:numId="28">
    <w:abstractNumId w:val="38"/>
  </w:num>
  <w:num w:numId="29">
    <w:abstractNumId w:val="30"/>
  </w:num>
  <w:num w:numId="30">
    <w:abstractNumId w:val="13"/>
  </w:num>
  <w:num w:numId="31">
    <w:abstractNumId w:val="14"/>
  </w:num>
  <w:num w:numId="32">
    <w:abstractNumId w:val="28"/>
  </w:num>
  <w:num w:numId="33">
    <w:abstractNumId w:val="42"/>
  </w:num>
  <w:num w:numId="34">
    <w:abstractNumId w:val="26"/>
  </w:num>
  <w:num w:numId="35">
    <w:abstractNumId w:val="12"/>
  </w:num>
  <w:num w:numId="36">
    <w:abstractNumId w:val="10"/>
  </w:num>
  <w:num w:numId="37">
    <w:abstractNumId w:val="20"/>
  </w:num>
  <w:num w:numId="38">
    <w:abstractNumId w:val="16"/>
  </w:num>
  <w:num w:numId="39">
    <w:abstractNumId w:val="21"/>
  </w:num>
  <w:num w:numId="40">
    <w:abstractNumId w:val="11"/>
  </w:num>
  <w:num w:numId="41">
    <w:abstractNumId w:val="46"/>
  </w:num>
  <w:num w:numId="42">
    <w:abstractNumId w:val="17"/>
  </w:num>
  <w:num w:numId="43">
    <w:abstractNumId w:val="32"/>
  </w:num>
  <w:num w:numId="44">
    <w:abstractNumId w:val="23"/>
  </w:num>
  <w:num w:numId="45">
    <w:abstractNumId w:val="44"/>
  </w:num>
  <w:num w:numId="46">
    <w:abstractNumId w:val="31"/>
    <w:lvlOverride w:ilvl="0">
      <w:startOverride w:val="6"/>
    </w:lvlOverride>
  </w:num>
  <w:num w:numId="47">
    <w:abstractNumId w:val="37"/>
  </w:num>
  <w:num w:numId="48">
    <w:abstractNumId w:val="41"/>
  </w:num>
  <w:num w:numId="49">
    <w:abstractNumId w:val="25"/>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0E5"/>
    <w:rsid w:val="00010DF8"/>
    <w:rsid w:val="000160A3"/>
    <w:rsid w:val="000306C3"/>
    <w:rsid w:val="00045697"/>
    <w:rsid w:val="000531F0"/>
    <w:rsid w:val="00054D02"/>
    <w:rsid w:val="000750C1"/>
    <w:rsid w:val="0008435A"/>
    <w:rsid w:val="00085A74"/>
    <w:rsid w:val="000A62DB"/>
    <w:rsid w:val="000C26CB"/>
    <w:rsid w:val="000F2613"/>
    <w:rsid w:val="0012234C"/>
    <w:rsid w:val="00136D25"/>
    <w:rsid w:val="00152212"/>
    <w:rsid w:val="00165BD3"/>
    <w:rsid w:val="00184B34"/>
    <w:rsid w:val="001D30E5"/>
    <w:rsid w:val="001E24B3"/>
    <w:rsid w:val="001E3DD2"/>
    <w:rsid w:val="001F290F"/>
    <w:rsid w:val="00220A57"/>
    <w:rsid w:val="002615DC"/>
    <w:rsid w:val="00272DBF"/>
    <w:rsid w:val="002A243C"/>
    <w:rsid w:val="002B3D30"/>
    <w:rsid w:val="002E5327"/>
    <w:rsid w:val="002F01E1"/>
    <w:rsid w:val="002F18ED"/>
    <w:rsid w:val="003173E8"/>
    <w:rsid w:val="0031796D"/>
    <w:rsid w:val="00330567"/>
    <w:rsid w:val="00331020"/>
    <w:rsid w:val="0033440B"/>
    <w:rsid w:val="00340336"/>
    <w:rsid w:val="003427CB"/>
    <w:rsid w:val="00352D2F"/>
    <w:rsid w:val="00354617"/>
    <w:rsid w:val="00387BF8"/>
    <w:rsid w:val="00394AD8"/>
    <w:rsid w:val="003A1BD5"/>
    <w:rsid w:val="003B61DB"/>
    <w:rsid w:val="003C69DF"/>
    <w:rsid w:val="003D5C1B"/>
    <w:rsid w:val="003D7222"/>
    <w:rsid w:val="003F450E"/>
    <w:rsid w:val="003F4717"/>
    <w:rsid w:val="00410F54"/>
    <w:rsid w:val="00411301"/>
    <w:rsid w:val="0041799A"/>
    <w:rsid w:val="004267DC"/>
    <w:rsid w:val="004317A2"/>
    <w:rsid w:val="00447BE6"/>
    <w:rsid w:val="00466E5D"/>
    <w:rsid w:val="00487B0B"/>
    <w:rsid w:val="004A5DAD"/>
    <w:rsid w:val="004C041A"/>
    <w:rsid w:val="004C1130"/>
    <w:rsid w:val="004C468C"/>
    <w:rsid w:val="00501EF9"/>
    <w:rsid w:val="00522E9E"/>
    <w:rsid w:val="00545D32"/>
    <w:rsid w:val="00551B58"/>
    <w:rsid w:val="00554423"/>
    <w:rsid w:val="005564D2"/>
    <w:rsid w:val="00562B60"/>
    <w:rsid w:val="005677DF"/>
    <w:rsid w:val="00571193"/>
    <w:rsid w:val="00573A13"/>
    <w:rsid w:val="0058506C"/>
    <w:rsid w:val="005918AD"/>
    <w:rsid w:val="005A4E5C"/>
    <w:rsid w:val="005A712B"/>
    <w:rsid w:val="005B2053"/>
    <w:rsid w:val="005E4FE0"/>
    <w:rsid w:val="005E7901"/>
    <w:rsid w:val="00604B79"/>
    <w:rsid w:val="0062591C"/>
    <w:rsid w:val="006315FB"/>
    <w:rsid w:val="0064543A"/>
    <w:rsid w:val="00662233"/>
    <w:rsid w:val="00676056"/>
    <w:rsid w:val="00684F30"/>
    <w:rsid w:val="0068612F"/>
    <w:rsid w:val="006A0781"/>
    <w:rsid w:val="006B7D97"/>
    <w:rsid w:val="006D16E5"/>
    <w:rsid w:val="006D61E8"/>
    <w:rsid w:val="006F0B42"/>
    <w:rsid w:val="00717115"/>
    <w:rsid w:val="00756B5B"/>
    <w:rsid w:val="00761462"/>
    <w:rsid w:val="007702CD"/>
    <w:rsid w:val="007773D0"/>
    <w:rsid w:val="007A123C"/>
    <w:rsid w:val="007C19FF"/>
    <w:rsid w:val="007C5B90"/>
    <w:rsid w:val="007D62B8"/>
    <w:rsid w:val="007E6686"/>
    <w:rsid w:val="007E6CE5"/>
    <w:rsid w:val="00802D1A"/>
    <w:rsid w:val="00813867"/>
    <w:rsid w:val="00814510"/>
    <w:rsid w:val="00817A46"/>
    <w:rsid w:val="008465E3"/>
    <w:rsid w:val="008547CF"/>
    <w:rsid w:val="00861EFC"/>
    <w:rsid w:val="008C03EA"/>
    <w:rsid w:val="008D2EF9"/>
    <w:rsid w:val="008D53C4"/>
    <w:rsid w:val="008E287F"/>
    <w:rsid w:val="00901AB5"/>
    <w:rsid w:val="0092251A"/>
    <w:rsid w:val="009255D4"/>
    <w:rsid w:val="00951F9C"/>
    <w:rsid w:val="00963FC0"/>
    <w:rsid w:val="00982EB4"/>
    <w:rsid w:val="00983968"/>
    <w:rsid w:val="00987A1B"/>
    <w:rsid w:val="00997C9F"/>
    <w:rsid w:val="009A442C"/>
    <w:rsid w:val="009B1549"/>
    <w:rsid w:val="009B2C9C"/>
    <w:rsid w:val="009B3138"/>
    <w:rsid w:val="009C438D"/>
    <w:rsid w:val="009F15DE"/>
    <w:rsid w:val="00A03A9F"/>
    <w:rsid w:val="00A1022C"/>
    <w:rsid w:val="00A24E98"/>
    <w:rsid w:val="00A25B0D"/>
    <w:rsid w:val="00A44334"/>
    <w:rsid w:val="00A44FE7"/>
    <w:rsid w:val="00A4653E"/>
    <w:rsid w:val="00A5405C"/>
    <w:rsid w:val="00A66CF0"/>
    <w:rsid w:val="00A9408A"/>
    <w:rsid w:val="00AA12A0"/>
    <w:rsid w:val="00AD048F"/>
    <w:rsid w:val="00AD3581"/>
    <w:rsid w:val="00AD4403"/>
    <w:rsid w:val="00AD62AA"/>
    <w:rsid w:val="00AF1705"/>
    <w:rsid w:val="00B1020F"/>
    <w:rsid w:val="00B32755"/>
    <w:rsid w:val="00B47076"/>
    <w:rsid w:val="00B51F9D"/>
    <w:rsid w:val="00B522D6"/>
    <w:rsid w:val="00B64775"/>
    <w:rsid w:val="00B900A9"/>
    <w:rsid w:val="00B973B0"/>
    <w:rsid w:val="00BA2318"/>
    <w:rsid w:val="00BB0D6B"/>
    <w:rsid w:val="00BB3EB8"/>
    <w:rsid w:val="00BC481D"/>
    <w:rsid w:val="00BD46C5"/>
    <w:rsid w:val="00BF3A08"/>
    <w:rsid w:val="00C04C78"/>
    <w:rsid w:val="00C1544A"/>
    <w:rsid w:val="00C21699"/>
    <w:rsid w:val="00C25E55"/>
    <w:rsid w:val="00C25E8D"/>
    <w:rsid w:val="00C3119E"/>
    <w:rsid w:val="00C43318"/>
    <w:rsid w:val="00C62750"/>
    <w:rsid w:val="00C73576"/>
    <w:rsid w:val="00C77074"/>
    <w:rsid w:val="00C80D41"/>
    <w:rsid w:val="00CB063E"/>
    <w:rsid w:val="00CC332D"/>
    <w:rsid w:val="00CE5F9D"/>
    <w:rsid w:val="00CF20C2"/>
    <w:rsid w:val="00CF69BD"/>
    <w:rsid w:val="00D23D2F"/>
    <w:rsid w:val="00D37EB2"/>
    <w:rsid w:val="00D60C39"/>
    <w:rsid w:val="00D6584F"/>
    <w:rsid w:val="00DA0292"/>
    <w:rsid w:val="00DA433C"/>
    <w:rsid w:val="00DC40E7"/>
    <w:rsid w:val="00DC541E"/>
    <w:rsid w:val="00DD1A69"/>
    <w:rsid w:val="00DD43B2"/>
    <w:rsid w:val="00DD6EE1"/>
    <w:rsid w:val="00DF59E6"/>
    <w:rsid w:val="00E0679E"/>
    <w:rsid w:val="00E072AB"/>
    <w:rsid w:val="00E155A5"/>
    <w:rsid w:val="00E85EC9"/>
    <w:rsid w:val="00E86136"/>
    <w:rsid w:val="00EA3BB1"/>
    <w:rsid w:val="00EE5A8D"/>
    <w:rsid w:val="00F10D8F"/>
    <w:rsid w:val="00F215A4"/>
    <w:rsid w:val="00F23FAC"/>
    <w:rsid w:val="00F24056"/>
    <w:rsid w:val="00F40891"/>
    <w:rsid w:val="00F60E25"/>
    <w:rsid w:val="00F60FE7"/>
    <w:rsid w:val="00F85322"/>
    <w:rsid w:val="00F863C8"/>
    <w:rsid w:val="00FA4A9A"/>
    <w:rsid w:val="00FB3F01"/>
    <w:rsid w:val="00FB469F"/>
    <w:rsid w:val="00FC1AAF"/>
    <w:rsid w:val="00FF5334"/>
    <w:rsid w:val="00FF68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301E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unhideWhenUsed="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paragraph" w:styleId="Heading1">
    <w:name w:val="heading 1"/>
    <w:basedOn w:val="Normal"/>
    <w:next w:val="Normal"/>
    <w:link w:val="Heading1Char"/>
    <w:qFormat/>
    <w:pPr>
      <w:keepNext/>
      <w:numPr>
        <w:numId w:val="1"/>
      </w:numPr>
      <w:spacing w:after="240"/>
      <w:jc w:val="center"/>
      <w:outlineLvl w:val="0"/>
    </w:pPr>
    <w:rPr>
      <w:rFonts w:ascii="Times New Roman Bold" w:hAnsi="Times New Roman Bold"/>
      <w:b/>
      <w:bCs/>
      <w:caps/>
      <w:kern w:val="32"/>
      <w:szCs w:val="32"/>
      <w:u w:val="single"/>
    </w:rPr>
  </w:style>
  <w:style w:type="paragraph" w:styleId="Heading2">
    <w:name w:val="heading 2"/>
    <w:basedOn w:val="Normal"/>
    <w:next w:val="Normal"/>
    <w:link w:val="Heading2Char"/>
    <w:qFormat/>
    <w:pPr>
      <w:keepNext/>
      <w:numPr>
        <w:numId w:val="2"/>
      </w:numPr>
      <w:spacing w:line="480" w:lineRule="auto"/>
      <w:outlineLvl w:val="1"/>
    </w:pPr>
    <w:rPr>
      <w:b/>
      <w:bCs/>
      <w:iCs/>
      <w:szCs w:val="28"/>
      <w:u w:val="single"/>
    </w:rPr>
  </w:style>
  <w:style w:type="paragraph" w:styleId="Heading3">
    <w:name w:val="heading 3"/>
    <w:basedOn w:val="Normal"/>
    <w:next w:val="Normal"/>
    <w:link w:val="Heading3Char"/>
    <w:unhideWhenUsed/>
    <w:pPr>
      <w:keepNext/>
      <w:keepLines/>
      <w:numPr>
        <w:numId w:val="6"/>
      </w:numPr>
      <w:spacing w:line="480" w:lineRule="auto"/>
      <w:jc w:val="center"/>
      <w:outlineLvl w:val="2"/>
    </w:pPr>
    <w:rPr>
      <w:rFonts w:eastAsiaTheme="majorEastAsia" w:cstheme="majorBidi"/>
      <w:b/>
      <w:bCs/>
    </w:rPr>
  </w:style>
  <w:style w:type="paragraph" w:styleId="Heading4">
    <w:name w:val="heading 4"/>
    <w:basedOn w:val="Normal"/>
    <w:next w:val="Normal"/>
    <w:link w:val="Heading4Char"/>
    <w:pPr>
      <w:keepNext/>
      <w:spacing w:before="240" w:after="60"/>
      <w:outlineLvl w:val="3"/>
    </w:pPr>
    <w:rPr>
      <w:b/>
      <w:bCs/>
      <w:sz w:val="28"/>
      <w:szCs w:val="28"/>
    </w:rPr>
  </w:style>
  <w:style w:type="paragraph" w:styleId="Heading5">
    <w:name w:val="heading 5"/>
    <w:basedOn w:val="Normal"/>
    <w:next w:val="Normal"/>
    <w:link w:val="Heading5Char"/>
    <w:semiHidden/>
    <w:unhideWhenUse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pPr>
      <w:keepNext/>
      <w:numPr>
        <w:numId w:val="8"/>
      </w:numPr>
      <w:spacing w:line="480" w:lineRule="auto"/>
      <w:jc w:val="center"/>
      <w:outlineLvl w:val="7"/>
    </w:pPr>
    <w:rPr>
      <w:rFonts w:ascii="Arial" w:hAnsi="Arial"/>
    </w:rPr>
  </w:style>
  <w:style w:type="paragraph" w:styleId="Heading9">
    <w:name w:val="heading 9"/>
    <w:basedOn w:val="Normal"/>
    <w:next w:val="Normal"/>
    <w:link w:val="Heading9Char"/>
    <w:semiHidden/>
    <w:unhideWhenUse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sz w:val="20"/>
      <w:szCs w:val="20"/>
    </w:rPr>
  </w:style>
  <w:style w:type="character" w:styleId="LineNumber">
    <w:name w:val="line number"/>
    <w:basedOn w:val="DefaultParagraphFont"/>
  </w:style>
  <w:style w:type="paragraph" w:customStyle="1" w:styleId="QUESTION0">
    <w:name w:val="QUESTION"/>
    <w:basedOn w:val="Normal"/>
    <w:next w:val="Normal"/>
    <w:pPr>
      <w:spacing w:line="540" w:lineRule="atLeast"/>
      <w:ind w:left="720" w:hanging="720"/>
      <w:jc w:val="both"/>
    </w:pPr>
    <w:rPr>
      <w:rFonts w:ascii="Arial" w:hAnsi="Arial"/>
      <w:caps/>
    </w:rPr>
  </w:style>
  <w:style w:type="paragraph" w:customStyle="1" w:styleId="A">
    <w:name w:val="A."/>
    <w:basedOn w:val="Normal"/>
    <w:link w:val="AChar"/>
    <w:pPr>
      <w:spacing w:line="480" w:lineRule="auto"/>
      <w:ind w:left="720" w:hanging="720"/>
      <w:jc w:val="both"/>
    </w:pPr>
  </w:style>
  <w:style w:type="character" w:customStyle="1" w:styleId="AChar">
    <w:name w:val="A. Char"/>
    <w:link w:val="A"/>
    <w:rPr>
      <w:sz w:val="24"/>
      <w:szCs w:val="24"/>
    </w:rPr>
  </w:style>
  <w:style w:type="paragraph" w:styleId="FootnoteText">
    <w:name w:val="footnote text"/>
    <w:basedOn w:val="Normal"/>
    <w:next w:val="Normal"/>
    <w:link w:val="FootnoteTextChar"/>
    <w:qFormat/>
    <w:rsid w:val="00DF59E6"/>
    <w:pPr>
      <w:tabs>
        <w:tab w:val="left" w:pos="360"/>
      </w:tabs>
      <w:spacing w:after="120"/>
      <w:ind w:left="360" w:hanging="360"/>
      <w:jc w:val="both"/>
    </w:pPr>
    <w:rPr>
      <w:rFonts w:cs="Arial"/>
      <w:sz w:val="20"/>
      <w:szCs w:val="20"/>
    </w:rPr>
  </w:style>
  <w:style w:type="character" w:styleId="FootnoteReference">
    <w:name w:val="footnote reference"/>
    <w:aliases w:val="fr,o"/>
    <w:rPr>
      <w:vertAlign w:val="superscript"/>
    </w:rPr>
  </w:style>
  <w:style w:type="paragraph" w:styleId="Footer">
    <w:name w:val="footer"/>
    <w:basedOn w:val="Normal"/>
    <w:link w:val="FooterChar"/>
    <w:uiPriority w:val="99"/>
    <w:pPr>
      <w:tabs>
        <w:tab w:val="center" w:pos="4320"/>
        <w:tab w:val="right" w:pos="8640"/>
      </w:tabs>
    </w:pPr>
    <w:rPr>
      <w:sz w:val="20"/>
      <w:szCs w:val="20"/>
    </w:rPr>
  </w:style>
  <w:style w:type="character" w:styleId="PageNumber">
    <w:name w:val="page number"/>
    <w:basedOn w:val="DefaultParagraphFont"/>
  </w:style>
  <w:style w:type="paragraph" w:styleId="Title">
    <w:name w:val="Title"/>
    <w:basedOn w:val="Normal"/>
    <w:pPr>
      <w:spacing w:line="480" w:lineRule="auto"/>
      <w:jc w:val="center"/>
    </w:pPr>
    <w:rPr>
      <w:b/>
      <w:szCs w:val="20"/>
    </w:rPr>
  </w:style>
  <w:style w:type="paragraph" w:styleId="BodyText">
    <w:name w:val="Body Text"/>
    <w:basedOn w:val="Normal"/>
    <w:link w:val="BodyTextChar"/>
    <w:pPr>
      <w:spacing w:after="120"/>
    </w:pPr>
    <w:rPr>
      <w:sz w:val="20"/>
      <w:szCs w:val="20"/>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2"/>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sid w:val="005A4E5C"/>
    <w:rPr>
      <w:rFonts w:ascii="Tahoma" w:hAnsi="Tahoma" w:cs="Tahoma"/>
      <w:sz w:val="18"/>
      <w:szCs w:val="16"/>
    </w:rPr>
  </w:style>
  <w:style w:type="paragraph" w:customStyle="1" w:styleId="1Figure">
    <w:name w:val="1Figure"/>
    <w:basedOn w:val="Caption"/>
    <w:pPr>
      <w:keepNext/>
      <w:widowControl w:val="0"/>
      <w:adjustRightInd w:val="0"/>
      <w:spacing w:line="360" w:lineRule="atLeast"/>
      <w:jc w:val="both"/>
      <w:textAlignment w:val="baseline"/>
    </w:pPr>
    <w:rPr>
      <w:rFonts w:ascii="Arial" w:hAnsi="Arial"/>
      <w:bCs w:val="0"/>
    </w:rPr>
  </w:style>
  <w:style w:type="paragraph" w:styleId="Caption">
    <w:name w:val="caption"/>
    <w:basedOn w:val="Normal"/>
    <w:next w:val="Normal"/>
    <w:rPr>
      <w:b/>
      <w:bCs/>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F59E6"/>
    <w:rPr>
      <w:rFonts w:cs="Arial"/>
    </w:rPr>
  </w:style>
  <w:style w:type="paragraph" w:styleId="TOC1">
    <w:name w:val="toc 1"/>
    <w:basedOn w:val="Normal"/>
    <w:next w:val="Normal"/>
    <w:autoRedefine/>
    <w:uiPriority w:val="39"/>
    <w:pPr>
      <w:tabs>
        <w:tab w:val="left" w:pos="720"/>
        <w:tab w:val="right" w:pos="9350"/>
      </w:tabs>
      <w:spacing w:after="240"/>
      <w:ind w:left="720" w:hanging="720"/>
    </w:pPr>
    <w:rPr>
      <w:noProof/>
    </w:rPr>
  </w:style>
  <w:style w:type="paragraph" w:styleId="TOCHeading">
    <w:name w:val="TOC Heading"/>
    <w:basedOn w:val="Heading1"/>
    <w:next w:val="Normal"/>
    <w:uiPriority w:val="39"/>
    <w:pPr>
      <w:keepLines/>
      <w:numPr>
        <w:numId w:val="0"/>
      </w:numPr>
      <w:spacing w:before="480" w:after="0" w:line="276" w:lineRule="auto"/>
      <w:outlineLvl w:val="9"/>
    </w:pPr>
    <w:rPr>
      <w:rFonts w:ascii="Cambria" w:hAnsi="Cambria"/>
      <w:color w:val="365F91"/>
      <w:kern w:val="0"/>
      <w:sz w:val="28"/>
      <w:szCs w:val="28"/>
    </w:rPr>
  </w:style>
  <w:style w:type="paragraph" w:styleId="TOC2">
    <w:name w:val="toc 2"/>
    <w:basedOn w:val="Normal"/>
    <w:next w:val="Normal"/>
    <w:autoRedefine/>
    <w:uiPriority w:val="39"/>
    <w:pPr>
      <w:ind w:left="240"/>
    </w:pPr>
    <w:rPr>
      <w:b/>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character" w:customStyle="1" w:styleId="CommentTextChar">
    <w:name w:val="Comment Text Char"/>
    <w:link w:val="CommentText"/>
    <w:uiPriority w:val="99"/>
    <w:rPr>
      <w:sz w:val="22"/>
    </w:rPr>
  </w:style>
  <w:style w:type="paragraph" w:styleId="Revision">
    <w:name w:val="Revision"/>
    <w:hidden/>
    <w:uiPriority w:val="99"/>
    <w:semiHidden/>
    <w:rPr>
      <w:sz w:val="24"/>
      <w:szCs w:val="24"/>
    </w:rPr>
  </w:style>
  <w:style w:type="table" w:customStyle="1" w:styleId="TableGrid1">
    <w:name w:val="Table Grid1"/>
    <w:basedOn w:val="TableNormal"/>
    <w:next w:val="TableGrid"/>
    <w:uiPriority w:val="5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ascii="Times New Roman Bold" w:hAnsi="Times New Roman Bold"/>
      <w:b/>
      <w:bCs/>
      <w:caps/>
      <w:kern w:val="32"/>
      <w:sz w:val="24"/>
      <w:szCs w:val="32"/>
      <w:u w:val="single"/>
    </w:rPr>
  </w:style>
  <w:style w:type="paragraph" w:styleId="BodyTextIndent3">
    <w:name w:val="Body Text Indent 3"/>
    <w:basedOn w:val="Normal"/>
    <w:link w:val="BodyTextIndent3Char"/>
    <w:pPr>
      <w:spacing w:after="120"/>
      <w:ind w:left="360"/>
    </w:pPr>
    <w:rPr>
      <w:sz w:val="16"/>
      <w:szCs w:val="16"/>
    </w:rPr>
  </w:style>
  <w:style w:type="character" w:customStyle="1" w:styleId="BodyTextIndent3Char">
    <w:name w:val="Body Text Indent 3 Char"/>
    <w:link w:val="BodyTextIndent3"/>
    <w:rPr>
      <w:sz w:val="16"/>
      <w:szCs w:val="16"/>
    </w:rPr>
  </w:style>
  <w:style w:type="paragraph" w:customStyle="1" w:styleId="LPSCHeading1">
    <w:name w:val="LPSC Heading 1"/>
    <w:basedOn w:val="Heading1"/>
    <w:next w:val="LPSCHeading2"/>
    <w:link w:val="LPSCHeading1Char"/>
    <w:rPr>
      <w:caps w:val="0"/>
    </w:rPr>
  </w:style>
  <w:style w:type="paragraph" w:customStyle="1" w:styleId="LPSCHeading2">
    <w:name w:val="LPSC Heading 2"/>
    <w:basedOn w:val="Heading2"/>
    <w:link w:val="LPSCHeading2Char"/>
    <w:pPr>
      <w:numPr>
        <w:numId w:val="3"/>
      </w:numPr>
    </w:pPr>
    <w:rPr>
      <w:szCs w:val="24"/>
    </w:rPr>
  </w:style>
  <w:style w:type="character" w:customStyle="1" w:styleId="LPSCHeading1Char">
    <w:name w:val="LPSC Heading 1 Char"/>
    <w:basedOn w:val="Heading1Char"/>
    <w:link w:val="LPSCHeading1"/>
    <w:rPr>
      <w:rFonts w:ascii="Times New Roman Bold" w:hAnsi="Times New Roman Bold"/>
      <w:b/>
      <w:bCs/>
      <w:caps w:val="0"/>
      <w:kern w:val="32"/>
      <w:sz w:val="24"/>
      <w:szCs w:val="32"/>
      <w:u w:val="single"/>
    </w:rPr>
  </w:style>
  <w:style w:type="character" w:customStyle="1" w:styleId="FooterChar">
    <w:name w:val="Footer Char"/>
    <w:link w:val="Footer"/>
    <w:uiPriority w:val="99"/>
  </w:style>
  <w:style w:type="character" w:customStyle="1" w:styleId="Heading2Char">
    <w:name w:val="Heading 2 Char"/>
    <w:link w:val="Heading2"/>
    <w:rPr>
      <w:b/>
      <w:bCs/>
      <w:iCs/>
      <w:sz w:val="24"/>
      <w:szCs w:val="28"/>
      <w:u w:val="single"/>
    </w:rPr>
  </w:style>
  <w:style w:type="character" w:customStyle="1" w:styleId="LPSCHeading2Char">
    <w:name w:val="LPSC Heading 2 Char"/>
    <w:link w:val="LPSCHeading2"/>
    <w:rPr>
      <w:b/>
      <w:bCs/>
      <w:iCs/>
      <w:sz w:val="24"/>
      <w:szCs w:val="24"/>
      <w:u w:val="single"/>
    </w:rPr>
  </w:style>
  <w:style w:type="table" w:customStyle="1" w:styleId="TableGrid2">
    <w:name w:val="Table Grid2"/>
    <w:basedOn w:val="TableNormal"/>
    <w:next w:val="TableGrid"/>
    <w:uiPriority w:val="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Pr>
      <w:rFonts w:eastAsiaTheme="majorEastAsia" w:cstheme="majorBidi"/>
      <w:b/>
      <w:bCs/>
      <w:sz w:val="24"/>
      <w:szCs w:val="24"/>
    </w:rPr>
  </w:style>
  <w:style w:type="character" w:customStyle="1" w:styleId="Heading8Char">
    <w:name w:val="Heading 8 Char"/>
    <w:basedOn w:val="DefaultParagraphFont"/>
    <w:link w:val="Heading8"/>
    <w:rPr>
      <w:rFonts w:ascii="Arial" w:hAnsi="Arial"/>
      <w:sz w:val="24"/>
      <w:szCs w:val="24"/>
    </w:rPr>
  </w:style>
  <w:style w:type="paragraph" w:customStyle="1" w:styleId="question">
    <w:name w:val="question"/>
    <w:basedOn w:val="Normal"/>
    <w:next w:val="Normal"/>
    <w:link w:val="questionChar"/>
    <w:pPr>
      <w:keepNext/>
      <w:numPr>
        <w:numId w:val="9"/>
      </w:numPr>
      <w:spacing w:line="480" w:lineRule="auto"/>
      <w:jc w:val="both"/>
    </w:pPr>
    <w:rPr>
      <w:caps/>
    </w:rPr>
  </w:style>
  <w:style w:type="character" w:customStyle="1" w:styleId="questionChar">
    <w:name w:val="question Char"/>
    <w:link w:val="question"/>
    <w:rPr>
      <w:caps/>
      <w:sz w:val="24"/>
      <w:szCs w:val="24"/>
    </w:rPr>
  </w:style>
  <w:style w:type="character" w:customStyle="1" w:styleId="HeaderChar">
    <w:name w:val="Header Char"/>
    <w:basedOn w:val="DefaultParagraphFont"/>
    <w:link w:val="Header"/>
    <w:uiPriority w:val="99"/>
  </w:style>
  <w:style w:type="character" w:customStyle="1" w:styleId="BodyTextChar">
    <w:name w:val="Body Text Char"/>
    <w:basedOn w:val="DefaultParagraphFont"/>
    <w:link w:val="BodyText"/>
  </w:style>
  <w:style w:type="paragraph" w:customStyle="1" w:styleId="Q">
    <w:name w:val="Q."/>
    <w:basedOn w:val="QUESTION0"/>
    <w:next w:val="A"/>
    <w:link w:val="QChar"/>
    <w:autoRedefine/>
    <w:uiPriority w:val="99"/>
    <w:qFormat/>
    <w:rsid w:val="009F15DE"/>
    <w:pPr>
      <w:keepNext/>
      <w:numPr>
        <w:numId w:val="4"/>
      </w:numPr>
      <w:spacing w:line="480" w:lineRule="auto"/>
    </w:pPr>
    <w:rPr>
      <w:rFonts w:ascii="Times New Roman" w:hAnsi="Times New Roman"/>
    </w:rPr>
  </w:style>
  <w:style w:type="character" w:customStyle="1" w:styleId="QChar">
    <w:name w:val="Q. Char"/>
    <w:basedOn w:val="DefaultParagraphFont"/>
    <w:link w:val="Q"/>
    <w:uiPriority w:val="99"/>
    <w:rPr>
      <w:caps/>
      <w:sz w:val="24"/>
      <w:szCs w:val="24"/>
    </w:rPr>
  </w:style>
  <w:style w:type="paragraph" w:styleId="Bibliography">
    <w:name w:val="Bibliography"/>
    <w:basedOn w:val="Normal"/>
    <w:next w:val="Normal"/>
    <w:uiPriority w:val="37"/>
    <w:semiHidden/>
    <w:unhideWhenUsed/>
  </w:style>
  <w:style w:type="paragraph" w:styleId="BlockText">
    <w:name w:val="Block Text"/>
    <w:basedOn w:val="Normal"/>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sz w:val="24"/>
      <w:szCs w:val="24"/>
    </w:rPr>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sz w:val="16"/>
      <w:szCs w:val="16"/>
    </w:rPr>
  </w:style>
  <w:style w:type="paragraph" w:styleId="BodyTextFirstIndent">
    <w:name w:val="Body Text First Indent"/>
    <w:basedOn w:val="BodyText"/>
    <w:link w:val="BodyTextFirstIndentChar"/>
    <w:pPr>
      <w:spacing w:after="0"/>
      <w:ind w:firstLine="360"/>
    </w:pPr>
    <w:rPr>
      <w:sz w:val="24"/>
      <w:szCs w:val="24"/>
    </w:rPr>
  </w:style>
  <w:style w:type="character" w:customStyle="1" w:styleId="BodyTextFirstIndentChar">
    <w:name w:val="Body Text First Indent Char"/>
    <w:basedOn w:val="BodyTextChar"/>
    <w:link w:val="BodyTextFirstIndent"/>
    <w:rPr>
      <w:sz w:val="24"/>
      <w:szCs w:val="24"/>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sz w:val="24"/>
      <w:szCs w:val="24"/>
    </w:rPr>
  </w:style>
  <w:style w:type="paragraph" w:styleId="BodyTextFirstIndent2">
    <w:name w:val="Body Text First Indent 2"/>
    <w:basedOn w:val="BodyTextIndent"/>
    <w:link w:val="BodyTextFirstIndent2Char"/>
    <w:pPr>
      <w:spacing w:after="0"/>
      <w:ind w:firstLine="360"/>
    </w:pPr>
  </w:style>
  <w:style w:type="character" w:customStyle="1" w:styleId="BodyTextFirstIndent2Char">
    <w:name w:val="Body Text First Indent 2 Char"/>
    <w:basedOn w:val="BodyTextIndentChar"/>
    <w:link w:val="BodyTextFirstIndent2"/>
    <w:rPr>
      <w:sz w:val="24"/>
      <w:szCs w:val="24"/>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sz w:val="24"/>
      <w:szCs w:val="24"/>
    </w:rPr>
  </w:style>
  <w:style w:type="paragraph" w:styleId="Closing">
    <w:name w:val="Closing"/>
    <w:basedOn w:val="Normal"/>
    <w:link w:val="ClosingChar"/>
    <w:pPr>
      <w:ind w:left="4320"/>
    </w:pPr>
  </w:style>
  <w:style w:type="character" w:customStyle="1" w:styleId="ClosingChar">
    <w:name w:val="Closing Char"/>
    <w:basedOn w:val="DefaultParagraphFont"/>
    <w:link w:val="Closing"/>
    <w:rPr>
      <w:sz w:val="24"/>
      <w:szCs w:val="24"/>
    </w:rPr>
  </w:style>
  <w:style w:type="paragraph" w:styleId="Date">
    <w:name w:val="Date"/>
    <w:basedOn w:val="Normal"/>
    <w:next w:val="Normal"/>
    <w:link w:val="DateChar"/>
  </w:style>
  <w:style w:type="character" w:customStyle="1" w:styleId="DateChar">
    <w:name w:val="Date Char"/>
    <w:basedOn w:val="DefaultParagraphFont"/>
    <w:link w:val="Date"/>
    <w:rPr>
      <w:sz w:val="24"/>
      <w:szCs w:val="24"/>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basedOn w:val="DefaultParagraphFont"/>
    <w:link w:val="DocumentMap"/>
    <w:rPr>
      <w:rFonts w:ascii="Tahoma" w:hAnsi="Tahoma" w:cs="Tahoma"/>
      <w:sz w:val="16"/>
      <w:szCs w:val="16"/>
    </w:rPr>
  </w:style>
  <w:style w:type="paragraph" w:styleId="E-mailSignature">
    <w:name w:val="E-mail Signature"/>
    <w:basedOn w:val="Normal"/>
    <w:link w:val="E-mailSignatureChar"/>
  </w:style>
  <w:style w:type="character" w:customStyle="1" w:styleId="E-mailSignatureChar">
    <w:name w:val="E-mail Signature Char"/>
    <w:basedOn w:val="DefaultParagraphFont"/>
    <w:link w:val="E-mailSignature"/>
    <w:rPr>
      <w:sz w:val="24"/>
      <w:szCs w:val="24"/>
    </w:rPr>
  </w:style>
  <w:style w:type="paragraph" w:styleId="EndnoteText">
    <w:name w:val="endnote text"/>
    <w:basedOn w:val="Normal"/>
    <w:link w:val="EndnoteTextChar"/>
    <w:rPr>
      <w:sz w:val="20"/>
      <w:szCs w:val="20"/>
    </w:rPr>
  </w:style>
  <w:style w:type="character" w:customStyle="1" w:styleId="EndnoteTextChar">
    <w:name w:val="Endnote Text Char"/>
    <w:basedOn w:val="DefaultParagraphFont"/>
    <w:link w:val="EndnoteText"/>
  </w:style>
  <w:style w:type="paragraph" w:styleId="EnvelopeAddress">
    <w:name w:val="envelope address"/>
    <w:basedOn w:val="Normal"/>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semiHidden/>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rPr>
      <w:i/>
      <w:iCs/>
    </w:rPr>
  </w:style>
  <w:style w:type="character" w:customStyle="1" w:styleId="HTMLAddressChar">
    <w:name w:val="HTML Address Char"/>
    <w:basedOn w:val="DefaultParagraphFont"/>
    <w:link w:val="HTMLAddress"/>
    <w:rPr>
      <w:i/>
      <w:iCs/>
      <w:sz w:val="24"/>
      <w:szCs w:val="24"/>
    </w:rPr>
  </w:style>
  <w:style w:type="paragraph" w:styleId="HTMLPreformatted">
    <w:name w:val="HTML Preformatted"/>
    <w:basedOn w:val="Normal"/>
    <w:link w:val="HTMLPreformattedChar"/>
    <w:rPr>
      <w:rFonts w:ascii="Consolas" w:hAnsi="Consolas"/>
      <w:sz w:val="20"/>
      <w:szCs w:val="20"/>
    </w:rPr>
  </w:style>
  <w:style w:type="character" w:customStyle="1" w:styleId="HTMLPreformattedChar">
    <w:name w:val="HTML Preformatted Char"/>
    <w:basedOn w:val="DefaultParagraphFont"/>
    <w:link w:val="HTMLPreformatted"/>
    <w:rPr>
      <w:rFonts w:ascii="Consolas" w:hAnsi="Consolas"/>
    </w:rPr>
  </w:style>
  <w:style w:type="paragraph" w:styleId="Index1">
    <w:name w:val="index 1"/>
    <w:basedOn w:val="Normal"/>
    <w:next w:val="Normal"/>
    <w:autoRedefine/>
    <w:pPr>
      <w:ind w:left="240" w:hanging="240"/>
    </w:pPr>
  </w:style>
  <w:style w:type="paragraph" w:styleId="Index2">
    <w:name w:val="index 2"/>
    <w:basedOn w:val="Normal"/>
    <w:next w:val="Normal"/>
    <w:autoRedefine/>
    <w:pPr>
      <w:ind w:left="480" w:hanging="240"/>
    </w:p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Theme="majorHAnsi" w:eastAsiaTheme="majorEastAsia" w:hAnsiTheme="majorHAnsi" w:cstheme="majorBidi"/>
      <w:b/>
      <w:bCs/>
    </w:rPr>
  </w:style>
  <w:style w:type="paragraph" w:styleId="IntenseQuote">
    <w:name w:val="Intense Quote"/>
    <w:basedOn w:val="Normal"/>
    <w:next w:val="Normal"/>
    <w:link w:val="IntenseQuoteChar"/>
    <w:uiPriority w:val="3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4"/>
      <w:szCs w:val="24"/>
    </w:rPr>
  </w:style>
  <w:style w:type="paragraph" w:styleId="List">
    <w:name w:val="List"/>
    <w:basedOn w:val="Normal"/>
    <w:pPr>
      <w:ind w:left="360" w:hanging="360"/>
      <w:contextualSpacing/>
    </w:pPr>
  </w:style>
  <w:style w:type="paragraph" w:styleId="List2">
    <w:name w:val="List 2"/>
    <w:basedOn w:val="Normal"/>
    <w:pPr>
      <w:ind w:left="720" w:hanging="360"/>
      <w:contextualSpacing/>
    </w:pPr>
  </w:style>
  <w:style w:type="paragraph" w:styleId="List3">
    <w:name w:val="List 3"/>
    <w:basedOn w:val="Normal"/>
    <w:pPr>
      <w:ind w:left="1080" w:hanging="360"/>
      <w:contextualSpacing/>
    </w:pPr>
  </w:style>
  <w:style w:type="paragraph" w:styleId="List4">
    <w:name w:val="List 4"/>
    <w:basedOn w:val="Normal"/>
    <w:pPr>
      <w:ind w:left="1440" w:hanging="360"/>
      <w:contextualSpacing/>
    </w:pPr>
  </w:style>
  <w:style w:type="paragraph" w:styleId="List5">
    <w:name w:val="List 5"/>
    <w:basedOn w:val="Normal"/>
    <w:pPr>
      <w:ind w:left="1800" w:hanging="360"/>
      <w:contextualSpacing/>
    </w:pPr>
  </w:style>
  <w:style w:type="paragraph" w:styleId="ListBullet">
    <w:name w:val="List Bullet"/>
    <w:basedOn w:val="Normal"/>
    <w:pPr>
      <w:numPr>
        <w:numId w:val="12"/>
      </w:numPr>
      <w:contextualSpacing/>
    </w:pPr>
  </w:style>
  <w:style w:type="paragraph" w:styleId="ListBullet2">
    <w:name w:val="List Bullet 2"/>
    <w:basedOn w:val="Normal"/>
    <w:pPr>
      <w:numPr>
        <w:numId w:val="13"/>
      </w:numPr>
      <w:contextualSpacing/>
    </w:pPr>
  </w:style>
  <w:style w:type="paragraph" w:styleId="ListBullet3">
    <w:name w:val="List Bullet 3"/>
    <w:basedOn w:val="Normal"/>
    <w:pPr>
      <w:numPr>
        <w:numId w:val="14"/>
      </w:numPr>
      <w:contextualSpacing/>
    </w:pPr>
  </w:style>
  <w:style w:type="paragraph" w:styleId="ListBullet4">
    <w:name w:val="List Bullet 4"/>
    <w:basedOn w:val="Normal"/>
    <w:pPr>
      <w:numPr>
        <w:numId w:val="15"/>
      </w:numPr>
      <w:contextualSpacing/>
    </w:pPr>
  </w:style>
  <w:style w:type="paragraph" w:styleId="ListBullet5">
    <w:name w:val="List Bullet 5"/>
    <w:basedOn w:val="Normal"/>
    <w:pPr>
      <w:numPr>
        <w:numId w:val="16"/>
      </w:numPr>
      <w:contextualSpacing/>
    </w:pPr>
  </w:style>
  <w:style w:type="paragraph" w:styleId="ListContinue">
    <w:name w:val="List Continue"/>
    <w:basedOn w:val="Normal"/>
    <w:pPr>
      <w:spacing w:after="120"/>
      <w:ind w:left="360"/>
      <w:contextualSpacing/>
    </w:pPr>
  </w:style>
  <w:style w:type="paragraph" w:styleId="ListContinue2">
    <w:name w:val="List Continue 2"/>
    <w:basedOn w:val="Normal"/>
    <w:pPr>
      <w:spacing w:after="120"/>
      <w:ind w:left="720"/>
      <w:contextualSpacing/>
    </w:pPr>
  </w:style>
  <w:style w:type="paragraph" w:styleId="ListContinue3">
    <w:name w:val="List Continue 3"/>
    <w:basedOn w:val="Normal"/>
    <w:pPr>
      <w:spacing w:after="120"/>
      <w:ind w:left="1080"/>
      <w:contextualSpacing/>
    </w:pPr>
  </w:style>
  <w:style w:type="paragraph" w:styleId="ListContinue4">
    <w:name w:val="List Continue 4"/>
    <w:basedOn w:val="Normal"/>
    <w:pPr>
      <w:spacing w:after="120"/>
      <w:ind w:left="1440"/>
      <w:contextualSpacing/>
    </w:pPr>
  </w:style>
  <w:style w:type="paragraph" w:styleId="ListContinue5">
    <w:name w:val="List Continue 5"/>
    <w:basedOn w:val="Normal"/>
    <w:pPr>
      <w:spacing w:after="120"/>
      <w:ind w:left="1800"/>
      <w:contextualSpacing/>
    </w:pPr>
  </w:style>
  <w:style w:type="paragraph" w:styleId="ListNumber">
    <w:name w:val="List Number"/>
    <w:basedOn w:val="Normal"/>
    <w:pPr>
      <w:numPr>
        <w:numId w:val="17"/>
      </w:numPr>
      <w:contextualSpacing/>
    </w:pPr>
  </w:style>
  <w:style w:type="paragraph" w:styleId="ListNumber2">
    <w:name w:val="List Number 2"/>
    <w:basedOn w:val="Normal"/>
    <w:pPr>
      <w:numPr>
        <w:numId w:val="18"/>
      </w:numPr>
      <w:contextualSpacing/>
    </w:pPr>
  </w:style>
  <w:style w:type="paragraph" w:styleId="ListNumber3">
    <w:name w:val="List Number 3"/>
    <w:basedOn w:val="Normal"/>
    <w:pPr>
      <w:numPr>
        <w:numId w:val="19"/>
      </w:numPr>
      <w:contextualSpacing/>
    </w:pPr>
  </w:style>
  <w:style w:type="paragraph" w:styleId="ListNumber4">
    <w:name w:val="List Number 4"/>
    <w:basedOn w:val="Normal"/>
    <w:pPr>
      <w:numPr>
        <w:numId w:val="20"/>
      </w:numPr>
      <w:contextualSpacing/>
    </w:pPr>
  </w:style>
  <w:style w:type="paragraph" w:styleId="ListNumber5">
    <w:name w:val="List Number 5"/>
    <w:basedOn w:val="Normal"/>
    <w:pPr>
      <w:numPr>
        <w:numId w:val="21"/>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rPr>
      <w:rFonts w:ascii="Consolas" w:hAnsi="Consola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rPr>
  </w:style>
  <w:style w:type="paragraph" w:styleId="NoSpacing">
    <w:name w:val="No Spacing"/>
    <w:uiPriority w:val="1"/>
    <w:rPr>
      <w:sz w:val="24"/>
      <w:szCs w:val="24"/>
    </w:rPr>
  </w:style>
  <w:style w:type="paragraph" w:styleId="NormalWeb">
    <w:name w:val="Normal (Web)"/>
    <w:basedOn w:val="Normal"/>
    <w:uiPriority w:val="99"/>
  </w:style>
  <w:style w:type="paragraph" w:styleId="NormalIndent">
    <w:name w:val="Normal Indent"/>
    <w:basedOn w:val="Normal"/>
    <w:pPr>
      <w:ind w:left="720"/>
    </w:pPr>
  </w:style>
  <w:style w:type="paragraph" w:customStyle="1" w:styleId="NoteHeading1">
    <w:name w:val="Note Heading1"/>
    <w:basedOn w:val="Normal"/>
    <w:next w:val="Normal"/>
    <w:link w:val="NoteHeadingChar"/>
  </w:style>
  <w:style w:type="character" w:customStyle="1" w:styleId="NoteHeadingChar">
    <w:name w:val="Note Heading Char"/>
    <w:basedOn w:val="DefaultParagraphFont"/>
    <w:link w:val="NoteHeading1"/>
    <w:rPr>
      <w:sz w:val="24"/>
      <w:szCs w:val="24"/>
    </w:rPr>
  </w:style>
  <w:style w:type="paragraph" w:styleId="PlainText">
    <w:name w:val="Plain Text"/>
    <w:basedOn w:val="Normal"/>
    <w:link w:val="PlainTextChar"/>
    <w:rPr>
      <w:rFonts w:ascii="Consolas" w:hAnsi="Consolas"/>
      <w:sz w:val="21"/>
      <w:szCs w:val="21"/>
    </w:rPr>
  </w:style>
  <w:style w:type="character" w:customStyle="1" w:styleId="PlainTextChar">
    <w:name w:val="Plain Text Char"/>
    <w:basedOn w:val="DefaultParagraphFont"/>
    <w:link w:val="PlainText"/>
    <w:rPr>
      <w:rFonts w:ascii="Consolas" w:hAnsi="Consolas"/>
      <w:sz w:val="21"/>
      <w:szCs w:val="21"/>
    </w:rPr>
  </w:style>
  <w:style w:type="paragraph" w:styleId="Quote">
    <w:name w:val="Quote"/>
    <w:basedOn w:val="Normal"/>
    <w:next w:val="Normal"/>
    <w:link w:val="QuoteChar"/>
    <w:uiPriority w:val="29"/>
    <w:rPr>
      <w:i/>
      <w:iCs/>
      <w:color w:val="000000" w:themeColor="text1"/>
    </w:rPr>
  </w:style>
  <w:style w:type="character" w:customStyle="1" w:styleId="QuoteChar">
    <w:name w:val="Quote Char"/>
    <w:basedOn w:val="DefaultParagraphFont"/>
    <w:link w:val="Quote"/>
    <w:uiPriority w:val="29"/>
    <w:rPr>
      <w:i/>
      <w:iCs/>
      <w:color w:val="000000" w:themeColor="text1"/>
      <w:sz w:val="24"/>
      <w:szCs w:val="24"/>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sz w:val="24"/>
      <w:szCs w:val="24"/>
    </w:rPr>
  </w:style>
  <w:style w:type="paragraph" w:styleId="Signature">
    <w:name w:val="Signature"/>
    <w:basedOn w:val="Normal"/>
    <w:link w:val="SignatureChar"/>
    <w:pPr>
      <w:ind w:left="4320"/>
    </w:pPr>
  </w:style>
  <w:style w:type="character" w:customStyle="1" w:styleId="SignatureChar">
    <w:name w:val="Signature Char"/>
    <w:basedOn w:val="DefaultParagraphFont"/>
    <w:link w:val="Signature"/>
    <w:rPr>
      <w:sz w:val="24"/>
      <w:szCs w:val="24"/>
    </w:rPr>
  </w:style>
  <w:style w:type="paragraph" w:styleId="Subtitle">
    <w:name w:val="Subtitle"/>
    <w:basedOn w:val="Normal"/>
    <w:next w:val="Normal"/>
    <w:link w:val="SubtitleChar"/>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Pr>
      <w:rFonts w:asciiTheme="majorHAnsi" w:eastAsiaTheme="majorEastAsia" w:hAnsiTheme="majorHAnsi" w:cstheme="majorBidi"/>
      <w:i/>
      <w:iCs/>
      <w:color w:val="4F81BD" w:themeColor="accent1"/>
      <w:spacing w:val="15"/>
      <w:sz w:val="24"/>
      <w:szCs w:val="24"/>
    </w:rPr>
  </w:style>
  <w:style w:type="paragraph" w:customStyle="1" w:styleId="TXTestimony">
    <w:name w:val="TX Testimony"/>
    <w:pPr>
      <w:tabs>
        <w:tab w:val="left" w:pos="720"/>
      </w:tabs>
      <w:spacing w:line="480" w:lineRule="auto"/>
      <w:ind w:left="720" w:hanging="720"/>
      <w:jc w:val="both"/>
    </w:pPr>
    <w:rPr>
      <w:rFonts w:ascii="Arial" w:hAnsi="Arial"/>
      <w:sz w:val="24"/>
    </w:rPr>
  </w:style>
  <w:style w:type="paragraph" w:customStyle="1" w:styleId="Style1">
    <w:name w:val="Style1"/>
    <w:basedOn w:val="LPSCHeading1"/>
    <w:pPr>
      <w:spacing w:after="120"/>
    </w:pPr>
  </w:style>
  <w:style w:type="paragraph" w:customStyle="1" w:styleId="Style2">
    <w:name w:val="Style2"/>
    <w:basedOn w:val="Style1"/>
    <w:pPr>
      <w:spacing w:after="240"/>
    </w:pPr>
  </w:style>
  <w:style w:type="character" w:customStyle="1" w:styleId="Heading4Char">
    <w:name w:val="Heading 4 Char"/>
    <w:link w:val="Heading4"/>
    <w:rPr>
      <w:b/>
      <w:bCs/>
      <w:sz w:val="28"/>
      <w:szCs w:val="28"/>
    </w:rPr>
  </w:style>
  <w:style w:type="paragraph" w:customStyle="1" w:styleId="Pub">
    <w:name w:val="Pub"/>
    <w:basedOn w:val="Normal"/>
    <w:pPr>
      <w:widowControl w:val="0"/>
      <w:numPr>
        <w:numId w:val="36"/>
      </w:numPr>
      <w:spacing w:after="120"/>
    </w:pPr>
    <w:rPr>
      <w:szCs w:val="20"/>
    </w:rPr>
  </w:style>
  <w:style w:type="paragraph" w:customStyle="1" w:styleId="PubCat">
    <w:name w:val="PubCat"/>
    <w:basedOn w:val="Pub"/>
    <w:pPr>
      <w:numPr>
        <w:numId w:val="0"/>
      </w:numPr>
      <w:spacing w:before="240"/>
    </w:pPr>
    <w:rPr>
      <w:u w:val="single"/>
    </w:rPr>
  </w:style>
  <w:style w:type="character" w:styleId="Strong">
    <w:name w:val="Strong"/>
    <w:basedOn w:val="DefaultParagraphFont"/>
    <w:uiPriority w:val="22"/>
    <w:rPr>
      <w:b/>
      <w:bC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published">
    <w:name w:val="published"/>
    <w:basedOn w:val="Normal"/>
    <w:pPr>
      <w:spacing w:before="100" w:beforeAutospacing="1" w:after="100" w:afterAutospacing="1"/>
    </w:pPr>
  </w:style>
  <w:style w:type="paragraph" w:customStyle="1" w:styleId="caption-text">
    <w:name w:val="caption-text"/>
    <w:basedOn w:val="Normal"/>
    <w:pPr>
      <w:spacing w:before="100" w:beforeAutospacing="1" w:after="100" w:afterAutospacing="1"/>
    </w:pPr>
  </w:style>
  <w:style w:type="paragraph" w:customStyle="1" w:styleId="image-horizontal-float-left">
    <w:name w:val="image-horizontal-float-left"/>
    <w:basedOn w:val="Normal"/>
    <w:pPr>
      <w:spacing w:before="100" w:beforeAutospacing="1" w:after="100" w:afterAutospacing="1"/>
    </w:pPr>
  </w:style>
  <w:style w:type="character" w:styleId="FollowedHyperlink">
    <w:name w:val="FollowedHyperlink"/>
    <w:basedOn w:val="DefaultParagraphFont"/>
    <w:semiHidden/>
    <w:unhideWhenUsed/>
    <w:rPr>
      <w:color w:val="800080" w:themeColor="followedHyperlink"/>
      <w:u w:val="single"/>
    </w:rPr>
  </w:style>
  <w:style w:type="paragraph" w:customStyle="1" w:styleId="Answer2">
    <w:name w:val="Answer 2"/>
    <w:basedOn w:val="Normal"/>
    <w:next w:val="Answer"/>
    <w:qFormat/>
    <w:rsid w:val="006B7D97"/>
    <w:pPr>
      <w:spacing w:line="480" w:lineRule="auto"/>
      <w:ind w:left="720" w:firstLine="720"/>
      <w:jc w:val="both"/>
    </w:pPr>
  </w:style>
  <w:style w:type="character" w:customStyle="1" w:styleId="UnresolvedMention2">
    <w:name w:val="Unresolved Mention2"/>
    <w:basedOn w:val="DefaultParagraphFont"/>
    <w:uiPriority w:val="99"/>
    <w:semiHidden/>
    <w:unhideWhenUsed/>
    <w:rsid w:val="006B7D97"/>
    <w:rPr>
      <w:color w:val="605E5C"/>
      <w:shd w:val="clear" w:color="auto" w:fill="E1DFDD"/>
    </w:rPr>
  </w:style>
  <w:style w:type="paragraph" w:customStyle="1" w:styleId="Answer">
    <w:name w:val="Answer"/>
    <w:basedOn w:val="Normal"/>
    <w:qFormat/>
    <w:rsid w:val="006B7D97"/>
    <w:pPr>
      <w:spacing w:line="480" w:lineRule="auto"/>
      <w:ind w:left="720" w:hanging="720"/>
      <w:jc w:val="both"/>
    </w:pPr>
  </w:style>
  <w:style w:type="character" w:customStyle="1" w:styleId="UnresolvedMention3">
    <w:name w:val="Unresolved Mention3"/>
    <w:basedOn w:val="DefaultParagraphFont"/>
    <w:uiPriority w:val="99"/>
    <w:semiHidden/>
    <w:unhideWhenUsed/>
    <w:rsid w:val="00330567"/>
    <w:rPr>
      <w:color w:val="605E5C"/>
      <w:shd w:val="clear" w:color="auto" w:fill="E1DFDD"/>
    </w:rPr>
  </w:style>
  <w:style w:type="character" w:styleId="Emphasis">
    <w:name w:val="Emphasis"/>
    <w:basedOn w:val="DefaultParagraphFont"/>
    <w:rsid w:val="00DF59E6"/>
    <w:rPr>
      <w:i/>
      <w:iCs/>
    </w:rPr>
  </w:style>
  <w:style w:type="character" w:customStyle="1" w:styleId="UnresolvedMention4">
    <w:name w:val="Unresolved Mention4"/>
    <w:basedOn w:val="DefaultParagraphFont"/>
    <w:uiPriority w:val="99"/>
    <w:semiHidden/>
    <w:unhideWhenUsed/>
    <w:rsid w:val="005918AD"/>
    <w:rPr>
      <w:color w:val="605E5C"/>
      <w:shd w:val="clear" w:color="auto" w:fill="E1DFDD"/>
    </w:rPr>
  </w:style>
  <w:style w:type="character" w:styleId="EndnoteReference">
    <w:name w:val="endnote reference"/>
    <w:basedOn w:val="DefaultParagraphFont"/>
    <w:semiHidden/>
    <w:unhideWhenUsed/>
    <w:rsid w:val="009B15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330832">
      <w:bodyDiv w:val="1"/>
      <w:marLeft w:val="0"/>
      <w:marRight w:val="0"/>
      <w:marTop w:val="0"/>
      <w:marBottom w:val="0"/>
      <w:divBdr>
        <w:top w:val="none" w:sz="0" w:space="0" w:color="auto"/>
        <w:left w:val="none" w:sz="0" w:space="0" w:color="auto"/>
        <w:bottom w:val="none" w:sz="0" w:space="0" w:color="auto"/>
        <w:right w:val="none" w:sz="0" w:space="0" w:color="auto"/>
      </w:divBdr>
      <w:divsChild>
        <w:div w:id="1439716669">
          <w:marLeft w:val="0"/>
          <w:marRight w:val="0"/>
          <w:marTop w:val="240"/>
          <w:marBottom w:val="0"/>
          <w:divBdr>
            <w:top w:val="none" w:sz="0" w:space="0" w:color="auto"/>
            <w:left w:val="none" w:sz="0" w:space="0" w:color="auto"/>
            <w:bottom w:val="none" w:sz="0" w:space="0" w:color="auto"/>
            <w:right w:val="none" w:sz="0" w:space="0" w:color="auto"/>
          </w:divBdr>
        </w:div>
        <w:div w:id="1523938955">
          <w:marLeft w:val="0"/>
          <w:marRight w:val="0"/>
          <w:marTop w:val="0"/>
          <w:marBottom w:val="0"/>
          <w:divBdr>
            <w:top w:val="none" w:sz="0" w:space="0" w:color="auto"/>
            <w:left w:val="none" w:sz="0" w:space="0" w:color="auto"/>
            <w:bottom w:val="none" w:sz="0" w:space="0" w:color="auto"/>
            <w:right w:val="none" w:sz="0" w:space="0" w:color="auto"/>
          </w:divBdr>
          <w:divsChild>
            <w:div w:id="378093231">
              <w:marLeft w:val="0"/>
              <w:marRight w:val="0"/>
              <w:marTop w:val="0"/>
              <w:marBottom w:val="0"/>
              <w:divBdr>
                <w:top w:val="none" w:sz="0" w:space="0" w:color="auto"/>
                <w:left w:val="none" w:sz="0" w:space="0" w:color="auto"/>
                <w:bottom w:val="none" w:sz="0" w:space="0" w:color="auto"/>
                <w:right w:val="none" w:sz="0" w:space="0" w:color="auto"/>
              </w:divBdr>
              <w:divsChild>
                <w:div w:id="570433028">
                  <w:marLeft w:val="0"/>
                  <w:marRight w:val="0"/>
                  <w:marTop w:val="0"/>
                  <w:marBottom w:val="0"/>
                  <w:divBdr>
                    <w:top w:val="none" w:sz="0" w:space="0" w:color="auto"/>
                    <w:left w:val="none" w:sz="0" w:space="0" w:color="auto"/>
                    <w:bottom w:val="none" w:sz="0" w:space="0" w:color="auto"/>
                    <w:right w:val="none" w:sz="0" w:space="0" w:color="auto"/>
                  </w:divBdr>
                  <w:divsChild>
                    <w:div w:id="914121199">
                      <w:marLeft w:val="0"/>
                      <w:marRight w:val="0"/>
                      <w:marTop w:val="0"/>
                      <w:marBottom w:val="0"/>
                      <w:divBdr>
                        <w:top w:val="none" w:sz="0" w:space="0" w:color="auto"/>
                        <w:left w:val="none" w:sz="0" w:space="0" w:color="auto"/>
                        <w:bottom w:val="none" w:sz="0" w:space="0" w:color="auto"/>
                        <w:right w:val="none" w:sz="0" w:space="0" w:color="auto"/>
                      </w:divBdr>
                      <w:divsChild>
                        <w:div w:id="20218148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12300829">
      <w:bodyDiv w:val="1"/>
      <w:marLeft w:val="0"/>
      <w:marRight w:val="0"/>
      <w:marTop w:val="0"/>
      <w:marBottom w:val="0"/>
      <w:divBdr>
        <w:top w:val="none" w:sz="0" w:space="0" w:color="auto"/>
        <w:left w:val="none" w:sz="0" w:space="0" w:color="auto"/>
        <w:bottom w:val="none" w:sz="0" w:space="0" w:color="auto"/>
        <w:right w:val="none" w:sz="0" w:space="0" w:color="auto"/>
      </w:divBdr>
    </w:div>
    <w:div w:id="1280377983">
      <w:bodyDiv w:val="1"/>
      <w:marLeft w:val="0"/>
      <w:marRight w:val="0"/>
      <w:marTop w:val="0"/>
      <w:marBottom w:val="0"/>
      <w:divBdr>
        <w:top w:val="none" w:sz="0" w:space="0" w:color="auto"/>
        <w:left w:val="none" w:sz="0" w:space="0" w:color="auto"/>
        <w:bottom w:val="none" w:sz="0" w:space="0" w:color="auto"/>
        <w:right w:val="none" w:sz="0" w:space="0" w:color="auto"/>
      </w:divBdr>
    </w:div>
    <w:div w:id="1297293577">
      <w:bodyDiv w:val="1"/>
      <w:marLeft w:val="0"/>
      <w:marRight w:val="0"/>
      <w:marTop w:val="0"/>
      <w:marBottom w:val="0"/>
      <w:divBdr>
        <w:top w:val="none" w:sz="0" w:space="0" w:color="auto"/>
        <w:left w:val="none" w:sz="0" w:space="0" w:color="auto"/>
        <w:bottom w:val="none" w:sz="0" w:space="0" w:color="auto"/>
        <w:right w:val="none" w:sz="0" w:space="0" w:color="auto"/>
      </w:divBdr>
    </w:div>
    <w:div w:id="1682001408">
      <w:bodyDiv w:val="1"/>
      <w:marLeft w:val="0"/>
      <w:marRight w:val="0"/>
      <w:marTop w:val="0"/>
      <w:marBottom w:val="0"/>
      <w:divBdr>
        <w:top w:val="none" w:sz="0" w:space="0" w:color="auto"/>
        <w:left w:val="none" w:sz="0" w:space="0" w:color="auto"/>
        <w:bottom w:val="none" w:sz="0" w:space="0" w:color="auto"/>
        <w:right w:val="none" w:sz="0" w:space="0" w:color="auto"/>
      </w:divBdr>
    </w:div>
    <w:div w:id="1688869701">
      <w:bodyDiv w:val="1"/>
      <w:marLeft w:val="0"/>
      <w:marRight w:val="0"/>
      <w:marTop w:val="0"/>
      <w:marBottom w:val="0"/>
      <w:divBdr>
        <w:top w:val="none" w:sz="0" w:space="0" w:color="auto"/>
        <w:left w:val="none" w:sz="0" w:space="0" w:color="auto"/>
        <w:bottom w:val="none" w:sz="0" w:space="0" w:color="auto"/>
        <w:right w:val="none" w:sz="0" w:space="0" w:color="auto"/>
      </w:divBdr>
      <w:divsChild>
        <w:div w:id="84305543">
          <w:marLeft w:val="0"/>
          <w:marRight w:val="0"/>
          <w:marTop w:val="0"/>
          <w:marBottom w:val="0"/>
          <w:divBdr>
            <w:top w:val="none" w:sz="0" w:space="0" w:color="auto"/>
            <w:left w:val="none" w:sz="0" w:space="0" w:color="auto"/>
            <w:bottom w:val="none" w:sz="0" w:space="0" w:color="auto"/>
            <w:right w:val="none" w:sz="0" w:space="0" w:color="auto"/>
          </w:divBdr>
          <w:divsChild>
            <w:div w:id="1216240353">
              <w:marLeft w:val="0"/>
              <w:marRight w:val="0"/>
              <w:marTop w:val="450"/>
              <w:marBottom w:val="0"/>
              <w:divBdr>
                <w:top w:val="none" w:sz="0" w:space="0" w:color="auto"/>
                <w:left w:val="none" w:sz="0" w:space="0" w:color="auto"/>
                <w:bottom w:val="none" w:sz="0" w:space="0" w:color="auto"/>
                <w:right w:val="none" w:sz="0" w:space="0" w:color="auto"/>
              </w:divBdr>
            </w:div>
          </w:divsChild>
        </w:div>
        <w:div w:id="1013724636">
          <w:marLeft w:val="-300"/>
          <w:marRight w:val="0"/>
          <w:marTop w:val="0"/>
          <w:marBottom w:val="0"/>
          <w:divBdr>
            <w:top w:val="none" w:sz="0" w:space="0" w:color="auto"/>
            <w:left w:val="none" w:sz="0" w:space="0" w:color="auto"/>
            <w:bottom w:val="none" w:sz="0" w:space="0" w:color="auto"/>
            <w:right w:val="none" w:sz="0" w:space="0" w:color="auto"/>
          </w:divBdr>
        </w:div>
      </w:divsChild>
    </w:div>
    <w:div w:id="1793210431">
      <w:bodyDiv w:val="1"/>
      <w:marLeft w:val="0"/>
      <w:marRight w:val="0"/>
      <w:marTop w:val="0"/>
      <w:marBottom w:val="0"/>
      <w:divBdr>
        <w:top w:val="none" w:sz="0" w:space="0" w:color="auto"/>
        <w:left w:val="none" w:sz="0" w:space="0" w:color="auto"/>
        <w:bottom w:val="none" w:sz="0" w:space="0" w:color="auto"/>
        <w:right w:val="none" w:sz="0" w:space="0" w:color="auto"/>
      </w:divBdr>
    </w:div>
    <w:div w:id="206124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static1.squarespace.com/static/53ab1feee4b0bef0179a1563/t/5e7ca9d6c8fb3629d399fe0c/158522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DDE4E-D8C8-4A37-8649-ADB255AC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4633</Words>
  <Characters>25264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2021-09-13T16:02:00Z</dcterms:created>
  <dcterms:modified xsi:type="dcterms:W3CDTF">2021-09-13T16:04:00Z</dcterms:modified>
</cp:coreProperties>
</file>